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5566C">
      <w:pPr>
        <w:pStyle w:val="67"/>
        <w:spacing w:line="360" w:lineRule="auto"/>
        <w:jc w:val="center"/>
        <w:rPr>
          <w:rFonts w:hint="default" w:ascii="Times New Roman" w:hAnsi="Times New Roman" w:cs="Times New Roman"/>
          <w:b/>
          <w:bCs/>
          <w:color w:val="auto"/>
          <w:sz w:val="30"/>
          <w:szCs w:val="30"/>
          <w:highlight w:val="none"/>
        </w:rPr>
      </w:pPr>
      <w:r>
        <w:rPr>
          <w:rFonts w:hint="default" w:ascii="Times New Roman" w:hAnsi="Times New Roman" w:cs="Times New Roman"/>
          <w:b/>
          <w:bCs/>
          <w:color w:val="auto"/>
          <w:sz w:val="30"/>
          <w:szCs w:val="30"/>
          <w:highlight w:val="none"/>
        </w:rPr>
        <w:t>Field-scale evaluation of infiltration models in paddy fields: A comparative study and parameter assessment in Sri Lanka</w:t>
      </w:r>
    </w:p>
    <w:p w14:paraId="556108A8">
      <w:pPr>
        <w:spacing w:after="0" w:line="360" w:lineRule="auto"/>
        <w:jc w:val="center"/>
        <w:rPr>
          <w:rFonts w:hint="default" w:ascii="Times New Roman" w:hAnsi="Times New Roman" w:cs="Times New Roman"/>
          <w:b/>
          <w:bCs/>
          <w:color w:val="auto"/>
          <w:sz w:val="21"/>
          <w:szCs w:val="21"/>
          <w:highlight w:val="none"/>
          <w:vertAlign w:val="superscript"/>
        </w:rPr>
      </w:pPr>
      <w:r>
        <w:rPr>
          <w:rFonts w:hint="default" w:ascii="Times New Roman" w:hAnsi="Times New Roman" w:cs="Times New Roman"/>
          <w:b/>
          <w:bCs/>
          <w:color w:val="auto"/>
          <w:sz w:val="21"/>
          <w:szCs w:val="21"/>
          <w:highlight w:val="none"/>
        </w:rPr>
        <w:t>SUMANASEKARA</w:t>
      </w:r>
      <w:r>
        <w:rPr>
          <w:rFonts w:hint="default" w:ascii="Times New Roman" w:hAnsi="Times New Roman" w:cs="Times New Roman"/>
          <w:b/>
          <w:bCs/>
          <w:color w:val="auto"/>
          <w:sz w:val="21"/>
          <w:szCs w:val="21"/>
          <w:highlight w:val="none"/>
          <w:lang w:eastAsia="zh-CN"/>
        </w:rPr>
        <w:t xml:space="preserve"> Harindu</w:t>
      </w:r>
      <w:r>
        <w:rPr>
          <w:rFonts w:hint="default" w:ascii="Times New Roman" w:hAnsi="Times New Roman" w:cs="Times New Roman"/>
          <w:b/>
          <w:bCs/>
          <w:color w:val="auto"/>
          <w:sz w:val="21"/>
          <w:szCs w:val="21"/>
          <w:highlight w:val="none"/>
        </w:rPr>
        <w:t xml:space="preserve"> Sathsara</w:t>
      </w:r>
      <w:r>
        <w:rPr>
          <w:rFonts w:hint="default" w:ascii="Times New Roman" w:hAnsi="Times New Roman" w:cs="Times New Roman"/>
          <w:b/>
          <w:bCs/>
          <w:color w:val="auto"/>
          <w:sz w:val="21"/>
          <w:szCs w:val="21"/>
          <w:highlight w:val="none"/>
          <w:vertAlign w:val="superscript"/>
        </w:rPr>
        <w:t>1</w:t>
      </w:r>
      <w:r>
        <w:rPr>
          <w:rFonts w:hint="default" w:ascii="Times New Roman" w:hAnsi="Times New Roman" w:cs="Times New Roman"/>
          <w:b/>
          <w:bCs/>
          <w:color w:val="auto"/>
          <w:sz w:val="21"/>
          <w:szCs w:val="21"/>
          <w:highlight w:val="none"/>
        </w:rPr>
        <w:t>, SENATILLEKE Udara</w:t>
      </w:r>
      <w:r>
        <w:rPr>
          <w:rFonts w:hint="default" w:ascii="Times New Roman" w:hAnsi="Times New Roman" w:cs="Times New Roman"/>
          <w:b/>
          <w:bCs/>
          <w:color w:val="auto"/>
          <w:sz w:val="21"/>
          <w:szCs w:val="21"/>
          <w:highlight w:val="none"/>
          <w:vertAlign w:val="superscript"/>
        </w:rPr>
        <w:t>1</w:t>
      </w:r>
      <w:r>
        <w:rPr>
          <w:rFonts w:hint="default" w:ascii="Times New Roman" w:hAnsi="Times New Roman" w:cs="Times New Roman"/>
          <w:b/>
          <w:bCs/>
          <w:color w:val="auto"/>
          <w:sz w:val="21"/>
          <w:szCs w:val="21"/>
          <w:highlight w:val="none"/>
        </w:rPr>
        <w:t>, JAYASINGHE Ananda</w:t>
      </w:r>
      <w:r>
        <w:rPr>
          <w:rFonts w:hint="default" w:ascii="Times New Roman" w:hAnsi="Times New Roman" w:cs="Times New Roman"/>
          <w:b/>
          <w:bCs/>
          <w:color w:val="auto"/>
          <w:sz w:val="21"/>
          <w:szCs w:val="21"/>
          <w:highlight w:val="none"/>
          <w:vertAlign w:val="superscript"/>
        </w:rPr>
        <w:t>2</w:t>
      </w:r>
      <w:r>
        <w:rPr>
          <w:rFonts w:hint="default" w:ascii="Times New Roman" w:hAnsi="Times New Roman" w:cs="Times New Roman"/>
          <w:b/>
          <w:bCs/>
          <w:color w:val="auto"/>
          <w:sz w:val="21"/>
          <w:szCs w:val="21"/>
          <w:highlight w:val="none"/>
        </w:rPr>
        <w:t>, SIVAYOGAN</w:t>
      </w:r>
      <w:r>
        <w:rPr>
          <w:rFonts w:hint="default" w:ascii="Times New Roman" w:hAnsi="Times New Roman" w:cs="Times New Roman"/>
          <w:b/>
          <w:bCs/>
          <w:color w:val="auto"/>
          <w:sz w:val="21"/>
          <w:szCs w:val="21"/>
          <w:highlight w:val="none"/>
          <w:lang w:eastAsia="zh-CN"/>
        </w:rPr>
        <w:t xml:space="preserve"> Ramya </w:t>
      </w:r>
      <w:r>
        <w:rPr>
          <w:rFonts w:hint="default" w:ascii="Times New Roman" w:hAnsi="Times New Roman" w:cs="Times New Roman"/>
          <w:b/>
          <w:bCs/>
          <w:color w:val="auto"/>
          <w:sz w:val="21"/>
          <w:szCs w:val="21"/>
          <w:highlight w:val="none"/>
          <w:vertAlign w:val="superscript"/>
        </w:rPr>
        <w:t>2</w:t>
      </w:r>
      <w:r>
        <w:rPr>
          <w:rFonts w:hint="default" w:ascii="Times New Roman" w:hAnsi="Times New Roman" w:cs="Times New Roman"/>
          <w:b/>
          <w:bCs/>
          <w:color w:val="auto"/>
          <w:sz w:val="21"/>
          <w:szCs w:val="21"/>
          <w:highlight w:val="none"/>
        </w:rPr>
        <w:t>, GUNATHILAKE Miyuru</w:t>
      </w:r>
      <w:r>
        <w:rPr>
          <w:rFonts w:hint="default" w:ascii="Times New Roman" w:hAnsi="Times New Roman" w:cs="Times New Roman"/>
          <w:b/>
          <w:bCs/>
          <w:color w:val="auto"/>
          <w:sz w:val="21"/>
          <w:szCs w:val="21"/>
          <w:highlight w:val="none"/>
          <w:vertAlign w:val="superscript"/>
        </w:rPr>
        <w:t>3,4</w:t>
      </w:r>
      <w:r>
        <w:rPr>
          <w:rFonts w:hint="default" w:ascii="Times New Roman" w:hAnsi="Times New Roman" w:cs="Times New Roman"/>
          <w:b/>
          <w:bCs/>
          <w:color w:val="auto"/>
          <w:sz w:val="21"/>
          <w:szCs w:val="21"/>
          <w:highlight w:val="none"/>
        </w:rPr>
        <w:t>, JODHANI</w:t>
      </w:r>
      <w:r>
        <w:rPr>
          <w:rFonts w:hint="default" w:ascii="Times New Roman" w:hAnsi="Times New Roman" w:cs="Times New Roman"/>
          <w:b/>
          <w:bCs/>
          <w:color w:val="auto"/>
          <w:sz w:val="21"/>
          <w:szCs w:val="21"/>
          <w:highlight w:val="none"/>
          <w:lang w:eastAsia="zh-CN"/>
        </w:rPr>
        <w:t xml:space="preserve"> Keval</w:t>
      </w:r>
      <w:r>
        <w:rPr>
          <w:rFonts w:hint="default" w:ascii="Times New Roman" w:hAnsi="Times New Roman" w:cs="Times New Roman"/>
          <w:b/>
          <w:bCs/>
          <w:color w:val="auto"/>
          <w:sz w:val="21"/>
          <w:szCs w:val="21"/>
          <w:highlight w:val="none"/>
        </w:rPr>
        <w:t xml:space="preserve"> Haresh</w:t>
      </w:r>
      <w:r>
        <w:rPr>
          <w:rFonts w:hint="default" w:ascii="Times New Roman" w:hAnsi="Times New Roman" w:cs="Times New Roman"/>
          <w:b/>
          <w:bCs/>
          <w:color w:val="auto"/>
          <w:sz w:val="21"/>
          <w:szCs w:val="21"/>
          <w:highlight w:val="none"/>
          <w:vertAlign w:val="superscript"/>
        </w:rPr>
        <w:t>5</w:t>
      </w:r>
      <w:r>
        <w:rPr>
          <w:rFonts w:hint="default" w:ascii="Times New Roman" w:hAnsi="Times New Roman" w:cs="Times New Roman"/>
          <w:b/>
          <w:bCs/>
          <w:color w:val="auto"/>
          <w:sz w:val="21"/>
          <w:szCs w:val="21"/>
          <w:highlight w:val="none"/>
        </w:rPr>
        <w:t>, RATHNAYAKE Upaka</w:t>
      </w:r>
      <w:r>
        <w:rPr>
          <w:rFonts w:hint="default" w:ascii="Times New Roman" w:hAnsi="Times New Roman" w:cs="Times New Roman"/>
          <w:b/>
          <w:bCs/>
          <w:color w:val="auto"/>
          <w:sz w:val="21"/>
          <w:szCs w:val="21"/>
          <w:highlight w:val="none"/>
          <w:vertAlign w:val="superscript"/>
        </w:rPr>
        <w:t>6</w:t>
      </w:r>
    </w:p>
    <w:p w14:paraId="349D798D">
      <w:pPr>
        <w:spacing w:after="0"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 Department of Water Engineering and Management, Faculty of Infrastructure, Asian Institute of Technology, Pathum Thani  12120, Pathum Thani, Thailand; 2. Improving System Efficiencies and Water Productivity Project, Mahaweli Water Security</w:t>
      </w:r>
      <w:r>
        <w:rPr>
          <w:rFonts w:hint="default" w:ascii="Times New Roman" w:hAnsi="Times New Roman" w:cs="Times New Roman"/>
          <w:color w:val="auto"/>
          <w:sz w:val="21"/>
          <w:szCs w:val="21"/>
          <w:highlight w:val="none"/>
          <w:lang w:val="en-US"/>
        </w:rPr>
        <w:t xml:space="preserve"> </w:t>
      </w:r>
      <w:r>
        <w:rPr>
          <w:rFonts w:hint="default" w:ascii="Times New Roman" w:hAnsi="Times New Roman" w:cs="Times New Roman"/>
          <w:color w:val="auto"/>
          <w:sz w:val="21"/>
          <w:szCs w:val="21"/>
          <w:highlight w:val="none"/>
        </w:rPr>
        <w:t>Investment Program, Colombo 10, Western Province, Sri Lanka; 3. Hydrology and Aquatic Environment, Environment and Natural Resources, Norwegian Institute of Bioeconomy Research, Ås  1433, Norway</w:t>
      </w:r>
      <w:r>
        <w:rPr>
          <w:rFonts w:hint="default" w:ascii="Times New Roman" w:hAnsi="Times New Roman" w:cs="Times New Roman"/>
          <w:color w:val="auto"/>
          <w:sz w:val="21"/>
          <w:szCs w:val="21"/>
          <w:highlight w:val="none"/>
          <w:lang w:eastAsia="zh-CN"/>
        </w:rPr>
        <w:t xml:space="preserve">; </w:t>
      </w:r>
      <w:r>
        <w:rPr>
          <w:rFonts w:hint="default" w:ascii="Times New Roman" w:hAnsi="Times New Roman" w:cs="Times New Roman"/>
          <w:color w:val="auto"/>
          <w:sz w:val="21"/>
          <w:szCs w:val="21"/>
          <w:highlight w:val="none"/>
        </w:rPr>
        <w:t>4. Water, Energy, and Environmental Engineering Research Unit, Faculty of Technology, University of Oulu, Oulu  90014, North Ostrobothnia, Finland; 5. Department of Civil Engineering, Institute of Technology, Nirma University, Ahmedabad  382481, Gujarat, India; 6. Department of Civil Engineering and Construction, Faculty of Engineering and Design, Atlantic Technological University, Sligo  F91 YW50, Ireland)</w:t>
      </w:r>
    </w:p>
    <w:p w14:paraId="184CEC18">
      <w:pPr>
        <w:spacing w:after="0" w:line="360" w:lineRule="auto"/>
        <w:jc w:val="both"/>
        <w:rPr>
          <w:rFonts w:hint="default" w:ascii="Times New Roman" w:hAnsi="Times New Roman" w:cs="Times New Roman"/>
          <w:color w:val="auto"/>
          <w:sz w:val="24"/>
          <w:szCs w:val="24"/>
          <w:highlight w:val="none"/>
        </w:rPr>
      </w:pPr>
    </w:p>
    <w:p w14:paraId="4ED4ED3B">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 xml:space="preserve">Abstract: </w:t>
      </w:r>
      <w:r>
        <w:rPr>
          <w:rFonts w:hint="default" w:ascii="Times New Roman" w:hAnsi="Times New Roman" w:cs="Times New Roman"/>
          <w:color w:val="auto"/>
          <w:sz w:val="21"/>
          <w:szCs w:val="21"/>
          <w:highlight w:val="none"/>
        </w:rPr>
        <w:t xml:space="preserve">[Objective]Infiltration is a key process governing the plant-soil-water continuum in paddy fields, and is strongly influenced by soil texture and moisture content. Accurate assessment is essential for designing earthen irrigation canals and irrigation scheduling. Although field measurements provide accurate estimates of infiltration rates, they are often time-consuming. Consequently, various models have been developed as efficient alternatives for this purpose. Most soil infiltration studies in Sri Lanka were carried out using the manual method of using infiltration rings. Previous studies in Sri Lanka have rarely integrated field measurements with classical infiltration models— a gap that this study addresses. [Methods] Four classical infiltration models were compared against manual field measurements at three locations of three major paddy-irrigated areas of Sri Lanka, namely, Minipe Left Bank, Hurulu Wewa, and System B of the Mahaweli development area. GREEN and AMPT’s model, KOSTIAKOV’s model, HORTON’s model, and PHILIP’s model were used. [Results] Manual tests indicated saturated infiltration rates ranging from 0.11 cm/h to 0.96 cm/h across 61 farm-lot points, the large variation being attributable primarily to differences in soil texture. Averaged over 23 canal reaches, the two physically based models reproduced the measured curves far more closely than the empirical formulations: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model gave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0.9996,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0.0013 cm/h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0.9995, and PHILIP's model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0.9991,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0.0025 cm/h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0.9971, against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values of 0.1361 cm/h for KOSTIAKOV's model and 0.1645 cm/h for HORTON's model. The two physically based models were statistically indistinguishable from one another. PHILIP's and hydraulic conductivity varied systematically with soil texture, the mean </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 xml:space="preserve"> being 0.223 cm/h in sand- and gravel-bearing profiles against 0.165 cm/h in clay-dominated profiles, and the characteristic gravity time  (</w:t>
      </w:r>
      <w:r>
        <w:rPr>
          <w:rFonts w:hint="default" w:ascii="Times New Roman" w:hAnsi="Times New Roman" w:cs="Times New Roman"/>
          <w:i/>
          <w:iCs/>
          <w:color w:val="auto"/>
          <w:sz w:val="21"/>
          <w:szCs w:val="21"/>
          <w:highlight w:val="none"/>
        </w:rPr>
        <w:t>S</w:t>
      </w:r>
      <w:r>
        <w:rPr>
          <w:rFonts w:hint="default" w:ascii="Times New Roman" w:hAnsi="Times New Roman" w:cs="Times New Roman"/>
          <w:color w:val="auto"/>
          <w:sz w:val="21"/>
          <w:szCs w:val="21"/>
          <w:highlight w:val="none"/>
        </w:rPr>
        <w:t>/</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exceeded the test duration at 57% of points, indicating capillary-dominated infiltration. [Conclusion] Physically based models are better suited than empirical models to the ponded, kaolinitic, clay-dominated conditions of Sri Lankan paddy fields. PHILIP's model is recommended for practical use because its parameters are physically interpretable and texture-dependent, allowing infiltration to be estimated where manual measurements are unavailable.</w:t>
      </w:r>
      <w:bookmarkStart w:id="0" w:name="_Hlk226780392"/>
      <w:bookmarkEnd w:id="0"/>
      <w:bookmarkStart w:id="1" w:name="_Hlk217807647"/>
      <w:bookmarkEnd w:id="1"/>
    </w:p>
    <w:p w14:paraId="166E2535">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Keywords:</w:t>
      </w:r>
      <w:r>
        <w:rPr>
          <w:rFonts w:hint="default" w:ascii="Times New Roman" w:hAnsi="Times New Roman" w:cs="Times New Roman"/>
          <w:color w:val="auto"/>
          <w:sz w:val="21"/>
          <w:szCs w:val="21"/>
          <w:highlight w:val="none"/>
        </w:rPr>
        <w:t xml:space="preserve"> canal; irrigation; infiltration models; paddy; soil texture; Sri Lanka; PHILIP's model; water resources</w:t>
      </w:r>
    </w:p>
    <w:p w14:paraId="59C32317">
      <w:pPr>
        <w:pStyle w:val="2"/>
        <w:rPr>
          <w:rFonts w:hint="eastAsia" w:ascii="宋体" w:hAnsi="宋体" w:eastAsia="宋体" w:cs="宋体"/>
          <w:b/>
          <w:bCs w:val="0"/>
          <w:lang w:eastAsia="zh-CN"/>
        </w:rPr>
      </w:pPr>
      <w:r>
        <w:rPr>
          <w:rFonts w:hint="eastAsia" w:ascii="宋体" w:hAnsi="宋体" w:eastAsia="宋体" w:cs="宋体"/>
          <w:b/>
          <w:bCs w:val="0"/>
          <w:color w:val="000000"/>
          <w:sz w:val="24"/>
          <w:szCs w:val="24"/>
        </w:rPr>
        <w:t>开放科学（资源服务）标志码（OSID）：</w:t>
      </w:r>
      <w:r>
        <w:rPr>
          <w:rFonts w:hint="eastAsia" w:ascii="宋体" w:hAnsi="宋体" w:eastAsia="宋体" w:cs="宋体"/>
          <w:b/>
          <w:bCs w:val="0"/>
          <w:lang w:eastAsia="zh-CN"/>
        </w:rPr>
        <w:drawing>
          <wp:inline distT="0" distB="0" distL="114300" distR="114300">
            <wp:extent cx="1897380" cy="1897380"/>
            <wp:effectExtent l="0" t="0" r="7620" b="7620"/>
            <wp:docPr id="1" name="图片 1" descr="Field-scale evaluation of infiltration models in paddy fields_ A comparative study and parameter assessment in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eld-scale evaluation of infiltration models in paddy fields_ A comparative study and parameter assessment in Sri Lanka"/>
                    <pic:cNvPicPr>
                      <a:picLocks noChangeAspect="1"/>
                    </pic:cNvPicPr>
                  </pic:nvPicPr>
                  <pic:blipFill>
                    <a:blip r:embed="rId6"/>
                    <a:stretch>
                      <a:fillRect/>
                    </a:stretch>
                  </pic:blipFill>
                  <pic:spPr>
                    <a:xfrm>
                      <a:off x="0" y="0"/>
                      <a:ext cx="1897380" cy="1897380"/>
                    </a:xfrm>
                    <a:prstGeom prst="rect">
                      <a:avLst/>
                    </a:prstGeom>
                  </pic:spPr>
                </pic:pic>
              </a:graphicData>
            </a:graphic>
          </wp:inline>
        </w:drawing>
      </w:r>
      <w:bookmarkStart w:id="15" w:name="_GoBack"/>
      <w:bookmarkEnd w:id="15"/>
    </w:p>
    <w:p w14:paraId="1A9619C7">
      <w:pPr>
        <w:pStyle w:val="2"/>
        <w:rPr>
          <w:rFonts w:hint="default" w:ascii="Times New Roman" w:hAnsi="Times New Roman" w:cs="Times New Roman"/>
          <w:color w:val="auto"/>
          <w:highlight w:val="none"/>
          <w:lang w:eastAsia="zh-CN"/>
        </w:rPr>
      </w:pPr>
    </w:p>
    <w:p w14:paraId="241601CC">
      <w:pPr>
        <w:spacing w:after="0" w:line="360" w:lineRule="auto"/>
        <w:jc w:val="center"/>
        <w:rPr>
          <w:rFonts w:hint="default" w:ascii="Times New Roman" w:hAnsi="Times New Roman" w:eastAsia="宋体" w:cs="Times New Roman"/>
          <w:b/>
          <w:bCs/>
          <w:color w:val="auto"/>
          <w:sz w:val="32"/>
          <w:szCs w:val="32"/>
          <w:highlight w:val="none"/>
          <w:lang w:eastAsia="zh-CN"/>
        </w:rPr>
      </w:pPr>
      <w:r>
        <w:rPr>
          <w:rFonts w:hint="default" w:ascii="Times New Roman" w:hAnsi="Times New Roman" w:eastAsia="宋体" w:cs="Times New Roman"/>
          <w:b/>
          <w:bCs/>
          <w:color w:val="auto"/>
          <w:sz w:val="32"/>
          <w:szCs w:val="32"/>
          <w:highlight w:val="none"/>
          <w:lang w:eastAsia="zh-CN"/>
        </w:rPr>
        <w:t>稻田灌区田间尺度入渗动力学研究：斯里兰卡的比较研究和参数评估</w:t>
      </w:r>
    </w:p>
    <w:p w14:paraId="3A67B74B">
      <w:pPr>
        <w:spacing w:after="0" w:line="360" w:lineRule="auto"/>
        <w:jc w:val="center"/>
        <w:rPr>
          <w:rFonts w:hint="default" w:ascii="Times New Roman" w:hAnsi="Times New Roman" w:cs="Times New Roman"/>
          <w:b/>
          <w:bCs/>
          <w:color w:val="auto"/>
          <w:sz w:val="21"/>
          <w:szCs w:val="21"/>
          <w:highlight w:val="none"/>
          <w:vertAlign w:val="superscript"/>
        </w:rPr>
      </w:pPr>
      <w:r>
        <w:rPr>
          <w:rFonts w:hint="default" w:ascii="Times New Roman" w:hAnsi="Times New Roman" w:cs="Times New Roman"/>
          <w:b/>
          <w:bCs/>
          <w:color w:val="auto"/>
          <w:sz w:val="21"/>
          <w:szCs w:val="21"/>
          <w:highlight w:val="none"/>
        </w:rPr>
        <w:t>SUMANASEKARA</w:t>
      </w:r>
      <w:r>
        <w:rPr>
          <w:rFonts w:hint="default" w:ascii="Times New Roman" w:hAnsi="Times New Roman" w:cs="Times New Roman"/>
          <w:b/>
          <w:bCs/>
          <w:color w:val="auto"/>
          <w:sz w:val="21"/>
          <w:szCs w:val="21"/>
          <w:highlight w:val="none"/>
          <w:lang w:eastAsia="zh-CN"/>
        </w:rPr>
        <w:t xml:space="preserve"> </w:t>
      </w:r>
      <w:r>
        <w:rPr>
          <w:rFonts w:hint="default" w:ascii="Times New Roman" w:hAnsi="Times New Roman" w:cs="Times New Roman"/>
          <w:b/>
          <w:bCs/>
          <w:color w:val="auto"/>
          <w:sz w:val="21"/>
          <w:szCs w:val="21"/>
          <w:highlight w:val="none"/>
        </w:rPr>
        <w:t>H S</w:t>
      </w:r>
      <w:r>
        <w:rPr>
          <w:rFonts w:hint="default" w:ascii="Times New Roman" w:hAnsi="Times New Roman" w:cs="Times New Roman"/>
          <w:b/>
          <w:bCs/>
          <w:color w:val="auto"/>
          <w:sz w:val="21"/>
          <w:szCs w:val="21"/>
          <w:highlight w:val="none"/>
          <w:vertAlign w:val="superscript"/>
        </w:rPr>
        <w:t>1</w:t>
      </w:r>
      <w:r>
        <w:rPr>
          <w:rFonts w:hint="default" w:ascii="Times New Roman" w:hAnsi="Times New Roman" w:cs="Times New Roman"/>
          <w:b/>
          <w:bCs/>
          <w:color w:val="auto"/>
          <w:sz w:val="21"/>
          <w:szCs w:val="21"/>
          <w:highlight w:val="none"/>
        </w:rPr>
        <w:t>, SENATILLEKE U</w:t>
      </w:r>
      <w:r>
        <w:rPr>
          <w:rFonts w:hint="default" w:ascii="Times New Roman" w:hAnsi="Times New Roman" w:cs="Times New Roman"/>
          <w:b/>
          <w:bCs/>
          <w:color w:val="auto"/>
          <w:sz w:val="21"/>
          <w:szCs w:val="21"/>
          <w:highlight w:val="none"/>
          <w:vertAlign w:val="superscript"/>
        </w:rPr>
        <w:t>1</w:t>
      </w:r>
      <w:r>
        <w:rPr>
          <w:rFonts w:hint="default" w:ascii="Times New Roman" w:hAnsi="Times New Roman" w:cs="Times New Roman"/>
          <w:b/>
          <w:bCs/>
          <w:color w:val="auto"/>
          <w:sz w:val="21"/>
          <w:szCs w:val="21"/>
          <w:highlight w:val="none"/>
        </w:rPr>
        <w:t>, JAYASINGHE A</w:t>
      </w:r>
      <w:r>
        <w:rPr>
          <w:rFonts w:hint="default" w:ascii="Times New Roman" w:hAnsi="Times New Roman" w:cs="Times New Roman"/>
          <w:b/>
          <w:bCs/>
          <w:color w:val="auto"/>
          <w:sz w:val="21"/>
          <w:szCs w:val="21"/>
          <w:highlight w:val="none"/>
          <w:vertAlign w:val="superscript"/>
        </w:rPr>
        <w:t>2</w:t>
      </w:r>
      <w:r>
        <w:rPr>
          <w:rFonts w:hint="default" w:ascii="Times New Roman" w:hAnsi="Times New Roman" w:cs="Times New Roman"/>
          <w:b/>
          <w:bCs/>
          <w:color w:val="auto"/>
          <w:sz w:val="21"/>
          <w:szCs w:val="21"/>
          <w:highlight w:val="none"/>
        </w:rPr>
        <w:t>, SIVAYOGAN</w:t>
      </w:r>
      <w:r>
        <w:rPr>
          <w:rFonts w:hint="default" w:ascii="Times New Roman" w:hAnsi="Times New Roman" w:cs="Times New Roman"/>
          <w:b/>
          <w:bCs/>
          <w:color w:val="auto"/>
          <w:sz w:val="21"/>
          <w:szCs w:val="21"/>
          <w:highlight w:val="none"/>
          <w:lang w:eastAsia="zh-CN"/>
        </w:rPr>
        <w:t xml:space="preserve"> </w:t>
      </w:r>
      <w:r>
        <w:rPr>
          <w:rFonts w:hint="default" w:ascii="Times New Roman" w:hAnsi="Times New Roman" w:cs="Times New Roman"/>
          <w:b/>
          <w:bCs/>
          <w:color w:val="auto"/>
          <w:sz w:val="21"/>
          <w:szCs w:val="21"/>
          <w:highlight w:val="none"/>
        </w:rPr>
        <w:t>R</w:t>
      </w:r>
      <w:r>
        <w:rPr>
          <w:rFonts w:hint="default" w:ascii="Times New Roman" w:hAnsi="Times New Roman" w:cs="Times New Roman"/>
          <w:b/>
          <w:bCs/>
          <w:color w:val="auto"/>
          <w:sz w:val="21"/>
          <w:szCs w:val="21"/>
          <w:highlight w:val="none"/>
          <w:vertAlign w:val="superscript"/>
        </w:rPr>
        <w:t>2</w:t>
      </w:r>
      <w:r>
        <w:rPr>
          <w:rFonts w:hint="default" w:ascii="Times New Roman" w:hAnsi="Times New Roman" w:cs="Times New Roman"/>
          <w:b/>
          <w:bCs/>
          <w:color w:val="auto"/>
          <w:sz w:val="21"/>
          <w:szCs w:val="21"/>
          <w:highlight w:val="none"/>
        </w:rPr>
        <w:t>, GUNATHILAKE M</w:t>
      </w:r>
      <w:r>
        <w:rPr>
          <w:rFonts w:hint="default" w:ascii="Times New Roman" w:hAnsi="Times New Roman" w:cs="Times New Roman"/>
          <w:b/>
          <w:bCs/>
          <w:color w:val="auto"/>
          <w:sz w:val="21"/>
          <w:szCs w:val="21"/>
          <w:highlight w:val="none"/>
          <w:vertAlign w:val="superscript"/>
        </w:rPr>
        <w:t>3,4</w:t>
      </w:r>
      <w:r>
        <w:rPr>
          <w:rFonts w:hint="default" w:ascii="Times New Roman" w:hAnsi="Times New Roman" w:cs="Times New Roman"/>
          <w:b/>
          <w:bCs/>
          <w:color w:val="auto"/>
          <w:sz w:val="21"/>
          <w:szCs w:val="21"/>
          <w:highlight w:val="none"/>
        </w:rPr>
        <w:t>, JODHANI</w:t>
      </w:r>
      <w:r>
        <w:rPr>
          <w:rFonts w:hint="default" w:ascii="Times New Roman" w:hAnsi="Times New Roman" w:cs="Times New Roman"/>
          <w:b/>
          <w:bCs/>
          <w:color w:val="auto"/>
          <w:sz w:val="21"/>
          <w:szCs w:val="21"/>
          <w:highlight w:val="none"/>
          <w:lang w:eastAsia="zh-CN"/>
        </w:rPr>
        <w:t xml:space="preserve"> </w:t>
      </w:r>
      <w:r>
        <w:rPr>
          <w:rFonts w:hint="default" w:ascii="Times New Roman" w:hAnsi="Times New Roman" w:cs="Times New Roman"/>
          <w:b/>
          <w:bCs/>
          <w:color w:val="auto"/>
          <w:sz w:val="21"/>
          <w:szCs w:val="21"/>
          <w:highlight w:val="none"/>
        </w:rPr>
        <w:t>K H</w:t>
      </w:r>
      <w:r>
        <w:rPr>
          <w:rFonts w:hint="default" w:ascii="Times New Roman" w:hAnsi="Times New Roman" w:cs="Times New Roman"/>
          <w:b/>
          <w:bCs/>
          <w:color w:val="auto"/>
          <w:sz w:val="21"/>
          <w:szCs w:val="21"/>
          <w:highlight w:val="none"/>
          <w:vertAlign w:val="superscript"/>
        </w:rPr>
        <w:t>5</w:t>
      </w:r>
      <w:r>
        <w:rPr>
          <w:rFonts w:hint="default" w:ascii="Times New Roman" w:hAnsi="Times New Roman" w:cs="Times New Roman"/>
          <w:b/>
          <w:bCs/>
          <w:color w:val="auto"/>
          <w:sz w:val="21"/>
          <w:szCs w:val="21"/>
          <w:highlight w:val="none"/>
        </w:rPr>
        <w:t>, RATHNAYAKE U</w:t>
      </w:r>
      <w:r>
        <w:rPr>
          <w:rFonts w:hint="default" w:ascii="Times New Roman" w:hAnsi="Times New Roman" w:cs="Times New Roman"/>
          <w:b/>
          <w:bCs/>
          <w:color w:val="auto"/>
          <w:sz w:val="21"/>
          <w:szCs w:val="21"/>
          <w:highlight w:val="none"/>
          <w:vertAlign w:val="superscript"/>
        </w:rPr>
        <w:t>6</w:t>
      </w:r>
    </w:p>
    <w:p w14:paraId="7AAD7FB7">
      <w:pPr>
        <w:spacing w:after="0"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 Department of Water Engineering and Management, Faculty of Infrastructure, Asian Institute of Technology, Pathum Thani  12120, Pathum Thani, Thailand; 2. Improving System Efficiencies and Water Productivity Project, Mahaweli Water Security</w:t>
      </w:r>
    </w:p>
    <w:p w14:paraId="22AC0064">
      <w:pPr>
        <w:spacing w:after="0"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Investment Program, Colombo 10, Western Province, Sri Lanka; 3. Hydrology and Aquatic Environment, Environment and Natural Resources, Norwegian Institute of Bioeconomy Research, Ås  1433, Norway</w:t>
      </w:r>
      <w:r>
        <w:rPr>
          <w:rFonts w:hint="default" w:ascii="Times New Roman" w:hAnsi="Times New Roman" w:cs="Times New Roman"/>
          <w:color w:val="auto"/>
          <w:sz w:val="21"/>
          <w:szCs w:val="21"/>
          <w:highlight w:val="none"/>
          <w:lang w:eastAsia="zh-CN"/>
        </w:rPr>
        <w:t xml:space="preserve">; </w:t>
      </w:r>
      <w:r>
        <w:rPr>
          <w:rFonts w:hint="default" w:ascii="Times New Roman" w:hAnsi="Times New Roman" w:cs="Times New Roman"/>
          <w:color w:val="auto"/>
          <w:sz w:val="21"/>
          <w:szCs w:val="21"/>
          <w:highlight w:val="none"/>
        </w:rPr>
        <w:t>4. Water, Energy, and Environmental Engineering Research Unit, Faculty of Technology, University of Oulu, Oulu  90014, North Ostrobothnia, Finland; 5. Department of Civil Engineering, Institute of Technology, Nirma University, Ahmedabad  382481, Gujarat, India; 6. Department of Civil Engineering and Construction, Faculty of Engineering and Design, Atlantic Technological University, Sligo  F91 YW50, Ireland)</w:t>
      </w:r>
    </w:p>
    <w:p w14:paraId="3B97D1F9">
      <w:pPr>
        <w:spacing w:after="0" w:line="360" w:lineRule="auto"/>
        <w:rPr>
          <w:rFonts w:hint="default" w:ascii="Times New Roman" w:hAnsi="Times New Roman" w:eastAsia="宋体" w:cs="Times New Roman"/>
          <w:color w:val="auto"/>
          <w:sz w:val="21"/>
          <w:szCs w:val="21"/>
          <w:highlight w:val="none"/>
        </w:rPr>
      </w:pPr>
    </w:p>
    <w:p w14:paraId="3AD749C2">
      <w:pPr>
        <w:tabs>
          <w:tab w:val="left" w:pos="4180"/>
        </w:tabs>
        <w:spacing w:after="0" w:line="360" w:lineRule="auto"/>
        <w:jc w:val="both"/>
        <w:rPr>
          <w:rStyle w:val="23"/>
          <w:rFonts w:hint="default" w:ascii="Times New Roman" w:hAnsi="Times New Roman" w:eastAsia="楷体" w:cs="Times New Roman"/>
          <w:b w:val="0"/>
          <w:bCs/>
          <w:color w:val="auto"/>
          <w:sz w:val="21"/>
          <w:szCs w:val="21"/>
          <w:highlight w:val="none"/>
          <w:lang w:eastAsia="zh-CN"/>
        </w:rPr>
      </w:pPr>
      <w:r>
        <w:rPr>
          <w:rStyle w:val="23"/>
          <w:rFonts w:hint="default" w:ascii="Times New Roman" w:hAnsi="Times New Roman" w:eastAsia="黑体" w:cs="Times New Roman"/>
          <w:color w:val="auto"/>
          <w:sz w:val="21"/>
          <w:szCs w:val="21"/>
          <w:highlight w:val="none"/>
          <w:lang w:eastAsia="zh-CN"/>
        </w:rPr>
        <w:t>摘  要：</w:t>
      </w:r>
      <w:r>
        <w:rPr>
          <w:rStyle w:val="23"/>
          <w:rFonts w:hint="default" w:ascii="Times New Roman" w:hAnsi="Times New Roman" w:eastAsia="楷体" w:cs="Times New Roman"/>
          <w:b w:val="0"/>
          <w:bCs/>
          <w:color w:val="auto"/>
          <w:sz w:val="21"/>
          <w:szCs w:val="21"/>
          <w:highlight w:val="none"/>
          <w:lang w:eastAsia="zh-CN"/>
        </w:rPr>
        <w:t>【目的】入渗是维持稻田土壤-植物-水连续体的关键因素。众所周知，土壤质地和含水量会显著影响土壤入渗率。入渗率对于规划土质灌溉渠道和制定灌溉制度至关重要。尽管田间人工测试方法能提供较为准确的入渗率，但学界也开发了多种模型作为便捷工具来估算入渗率。斯里兰卡以往关于土壤入渗的研究多采用入渗环人工测量法，但鲜有研究将田间实测数据与现有的经典入渗模型相结合，而这正是本研究的创新之处。【方法】选取斯里兰卡马哈威利（Mahaweli）开发区内三个主要稻田灌溉区（Minipe左岸、Hurulu Wewa 和 System B）的3个地点，对主要入渗模型与人工实测方法进行了对比分析。采用了 GREEN-AMPT 模型、KOSTIAKOV 模型、HORTON 模型和 PHILIP 模型。【结果】人工测试结果表明，在61个农田样点中，饱和入渗率介于0.11至0.96 cm/h之间，其显著差异主要归因于土壤质地的不同。基于23个渠段的平均数据，两种物理机制模型对实测入渗曲线的拟合效果远优于经验公式：GREEN-AMPT模型的决定系数</w:t>
      </w:r>
      <w:r>
        <w:rPr>
          <w:rStyle w:val="23"/>
          <w:rFonts w:hint="default" w:ascii="Times New Roman" w:hAnsi="Times New Roman" w:eastAsia="楷体" w:cs="Times New Roman"/>
          <w:b w:val="0"/>
          <w:bCs/>
          <w:i/>
          <w:iCs/>
          <w:color w:val="auto"/>
          <w:sz w:val="21"/>
          <w:szCs w:val="21"/>
          <w:highlight w:val="none"/>
          <w:lang w:eastAsia="zh-CN"/>
        </w:rPr>
        <w:t>R</w:t>
      </w:r>
      <w:r>
        <w:rPr>
          <w:rStyle w:val="23"/>
          <w:rFonts w:hint="default" w:ascii="Times New Roman" w:hAnsi="Times New Roman" w:eastAsia="楷体" w:cs="Times New Roman"/>
          <w:b w:val="0"/>
          <w:bCs/>
          <w:color w:val="auto"/>
          <w:sz w:val="21"/>
          <w:szCs w:val="21"/>
          <w:highlight w:val="none"/>
          <w:lang w:eastAsia="zh-CN"/>
        </w:rPr>
        <w:t>²为0.9996，均方根误差</w:t>
      </w:r>
      <w:r>
        <w:rPr>
          <w:rStyle w:val="23"/>
          <w:rFonts w:hint="default" w:ascii="Times New Roman" w:hAnsi="Times New Roman" w:eastAsia="楷体" w:cs="Times New Roman"/>
          <w:b w:val="0"/>
          <w:bCs/>
          <w:i/>
          <w:iCs/>
          <w:color w:val="auto"/>
          <w:sz w:val="21"/>
          <w:szCs w:val="21"/>
          <w:highlight w:val="none"/>
          <w:lang w:eastAsia="zh-CN"/>
        </w:rPr>
        <w:t>RMSE</w:t>
      </w:r>
      <w:r>
        <w:rPr>
          <w:rStyle w:val="23"/>
          <w:rFonts w:hint="default" w:ascii="Times New Roman" w:hAnsi="Times New Roman" w:eastAsia="楷体" w:cs="Times New Roman"/>
          <w:b w:val="0"/>
          <w:bCs/>
          <w:color w:val="auto"/>
          <w:sz w:val="21"/>
          <w:szCs w:val="21"/>
          <w:highlight w:val="none"/>
          <w:lang w:eastAsia="zh-CN"/>
        </w:rPr>
        <w:t>为0.0013 cm/h，纳什效率系数</w:t>
      </w:r>
      <w:r>
        <w:rPr>
          <w:rStyle w:val="23"/>
          <w:rFonts w:hint="default" w:ascii="Times New Roman" w:hAnsi="Times New Roman" w:eastAsia="楷体" w:cs="Times New Roman"/>
          <w:b w:val="0"/>
          <w:bCs/>
          <w:i/>
          <w:iCs/>
          <w:color w:val="auto"/>
          <w:sz w:val="21"/>
          <w:szCs w:val="21"/>
          <w:highlight w:val="none"/>
          <w:lang w:eastAsia="zh-CN"/>
        </w:rPr>
        <w:t>NSE</w:t>
      </w:r>
      <w:r>
        <w:rPr>
          <w:rStyle w:val="23"/>
          <w:rFonts w:hint="default" w:ascii="Times New Roman" w:hAnsi="Times New Roman" w:eastAsia="楷体" w:cs="Times New Roman"/>
          <w:b w:val="0"/>
          <w:bCs/>
          <w:color w:val="auto"/>
          <w:sz w:val="21"/>
          <w:szCs w:val="21"/>
          <w:highlight w:val="none"/>
          <w:lang w:eastAsia="zh-CN"/>
        </w:rPr>
        <w:t>为0.9995；PHILIP模型的</w:t>
      </w:r>
      <w:r>
        <w:rPr>
          <w:rStyle w:val="23"/>
          <w:rFonts w:hint="default" w:ascii="Times New Roman" w:hAnsi="Times New Roman" w:eastAsia="楷体" w:cs="Times New Roman"/>
          <w:b w:val="0"/>
          <w:bCs/>
          <w:i/>
          <w:iCs/>
          <w:color w:val="auto"/>
          <w:sz w:val="21"/>
          <w:szCs w:val="21"/>
          <w:highlight w:val="none"/>
          <w:lang w:eastAsia="zh-CN"/>
        </w:rPr>
        <w:t>R</w:t>
      </w:r>
      <w:r>
        <w:rPr>
          <w:rStyle w:val="23"/>
          <w:rFonts w:hint="default" w:ascii="Times New Roman" w:hAnsi="Times New Roman" w:eastAsia="楷体" w:cs="Times New Roman"/>
          <w:b w:val="0"/>
          <w:bCs/>
          <w:color w:val="auto"/>
          <w:sz w:val="21"/>
          <w:szCs w:val="21"/>
          <w:highlight w:val="none"/>
          <w:lang w:eastAsia="zh-CN"/>
        </w:rPr>
        <w:t>²为0.9991，</w:t>
      </w:r>
      <w:r>
        <w:rPr>
          <w:rStyle w:val="23"/>
          <w:rFonts w:hint="default" w:ascii="Times New Roman" w:hAnsi="Times New Roman" w:eastAsia="楷体" w:cs="Times New Roman"/>
          <w:b w:val="0"/>
          <w:bCs/>
          <w:i/>
          <w:iCs/>
          <w:color w:val="auto"/>
          <w:sz w:val="21"/>
          <w:szCs w:val="21"/>
          <w:highlight w:val="none"/>
          <w:lang w:eastAsia="zh-CN"/>
        </w:rPr>
        <w:t>RMSE</w:t>
      </w:r>
      <w:r>
        <w:rPr>
          <w:rStyle w:val="23"/>
          <w:rFonts w:hint="default" w:ascii="Times New Roman" w:hAnsi="Times New Roman" w:eastAsia="楷体" w:cs="Times New Roman"/>
          <w:b w:val="0"/>
          <w:bCs/>
          <w:color w:val="auto"/>
          <w:sz w:val="21"/>
          <w:szCs w:val="21"/>
          <w:highlight w:val="none"/>
          <w:lang w:eastAsia="zh-CN"/>
        </w:rPr>
        <w:t>为0.0025 cm/h，</w:t>
      </w:r>
      <w:r>
        <w:rPr>
          <w:rStyle w:val="23"/>
          <w:rFonts w:hint="default" w:ascii="Times New Roman" w:hAnsi="Times New Roman" w:eastAsia="楷体" w:cs="Times New Roman"/>
          <w:b w:val="0"/>
          <w:bCs/>
          <w:i/>
          <w:iCs/>
          <w:color w:val="auto"/>
          <w:sz w:val="21"/>
          <w:szCs w:val="21"/>
          <w:highlight w:val="none"/>
          <w:lang w:eastAsia="zh-CN"/>
        </w:rPr>
        <w:t>NSE</w:t>
      </w:r>
      <w:r>
        <w:rPr>
          <w:rStyle w:val="23"/>
          <w:rFonts w:hint="default" w:ascii="Times New Roman" w:hAnsi="Times New Roman" w:eastAsia="楷体" w:cs="Times New Roman"/>
          <w:b w:val="0"/>
          <w:bCs/>
          <w:color w:val="auto"/>
          <w:sz w:val="21"/>
          <w:szCs w:val="21"/>
          <w:highlight w:val="none"/>
          <w:lang w:eastAsia="zh-CN"/>
        </w:rPr>
        <w:t>为0.9971。相比之下，KOSTIAKOV模型和Horton模型的</w:t>
      </w:r>
      <w:r>
        <w:rPr>
          <w:rStyle w:val="23"/>
          <w:rFonts w:hint="default" w:ascii="Times New Roman" w:hAnsi="Times New Roman" w:eastAsia="楷体" w:cs="Times New Roman"/>
          <w:b w:val="0"/>
          <w:bCs/>
          <w:i/>
          <w:iCs/>
          <w:color w:val="auto"/>
          <w:sz w:val="21"/>
          <w:szCs w:val="21"/>
          <w:highlight w:val="none"/>
          <w:lang w:eastAsia="zh-CN"/>
        </w:rPr>
        <w:t>RMSE</w:t>
      </w:r>
      <w:r>
        <w:rPr>
          <w:rStyle w:val="23"/>
          <w:rFonts w:hint="default" w:ascii="Times New Roman" w:hAnsi="Times New Roman" w:eastAsia="楷体" w:cs="Times New Roman"/>
          <w:b w:val="0"/>
          <w:bCs/>
          <w:color w:val="auto"/>
          <w:sz w:val="21"/>
          <w:szCs w:val="21"/>
          <w:highlight w:val="none"/>
          <w:lang w:eastAsia="zh-CN"/>
        </w:rPr>
        <w:t>分别高达0.1361 cm/h和0.1645 cm/h。统计检验表明，这两种物理机制模型的模拟性能无显著差异。PHILIP模型参数与土壤质地呈系统性相关：含砂砾土壤剖面的平均饱和导水率</w:t>
      </w:r>
      <w:r>
        <w:rPr>
          <w:rStyle w:val="23"/>
          <w:rFonts w:hint="default" w:ascii="Times New Roman" w:hAnsi="Times New Roman" w:eastAsia="楷体" w:cs="Times New Roman"/>
          <w:b w:val="0"/>
          <w:bCs/>
          <w:i/>
          <w:iCs/>
          <w:color w:val="auto"/>
          <w:sz w:val="21"/>
          <w:szCs w:val="21"/>
          <w:highlight w:val="none"/>
          <w:lang w:eastAsia="zh-CN"/>
        </w:rPr>
        <w:t>K</w:t>
      </w:r>
      <w:r>
        <w:rPr>
          <w:rStyle w:val="23"/>
          <w:rFonts w:hint="default" w:ascii="Times New Roman" w:hAnsi="Times New Roman" w:eastAsia="楷体" w:cs="Times New Roman"/>
          <w:b w:val="0"/>
          <w:bCs/>
          <w:color w:val="auto"/>
          <w:sz w:val="21"/>
          <w:szCs w:val="21"/>
          <w:highlight w:val="none"/>
          <w:lang w:eastAsia="zh-CN"/>
        </w:rPr>
        <w:t>为0.223 cm/h，而以黏土为主的剖面为0.165 cm/h。此外，在57%的测点上，重力特征时间 [即(</w:t>
      </w:r>
      <w:r>
        <w:rPr>
          <w:rStyle w:val="23"/>
          <w:rFonts w:hint="default" w:ascii="Times New Roman" w:hAnsi="Times New Roman" w:eastAsia="楷体" w:cs="Times New Roman"/>
          <w:b w:val="0"/>
          <w:bCs/>
          <w:i/>
          <w:iCs/>
          <w:color w:val="auto"/>
          <w:sz w:val="21"/>
          <w:szCs w:val="21"/>
          <w:highlight w:val="none"/>
          <w:lang w:eastAsia="zh-CN"/>
        </w:rPr>
        <w:t>S</w:t>
      </w:r>
      <w:r>
        <w:rPr>
          <w:rStyle w:val="23"/>
          <w:rFonts w:hint="default" w:ascii="Times New Roman" w:hAnsi="Times New Roman" w:eastAsia="楷体" w:cs="Times New Roman"/>
          <w:b w:val="0"/>
          <w:bCs/>
          <w:color w:val="auto"/>
          <w:sz w:val="21"/>
          <w:szCs w:val="21"/>
          <w:highlight w:val="none"/>
          <w:lang w:eastAsia="zh-CN"/>
        </w:rPr>
        <w:t>/</w:t>
      </w:r>
      <w:r>
        <w:rPr>
          <w:rStyle w:val="23"/>
          <w:rFonts w:hint="default" w:ascii="Times New Roman" w:hAnsi="Times New Roman" w:eastAsia="楷体" w:cs="Times New Roman"/>
          <w:b w:val="0"/>
          <w:bCs/>
          <w:i/>
          <w:iCs/>
          <w:color w:val="auto"/>
          <w:sz w:val="21"/>
          <w:szCs w:val="21"/>
          <w:highlight w:val="none"/>
          <w:lang w:eastAsia="zh-CN"/>
        </w:rPr>
        <w:t>K</w:t>
      </w:r>
      <w:r>
        <w:rPr>
          <w:rStyle w:val="23"/>
          <w:rFonts w:hint="default" w:ascii="Times New Roman" w:hAnsi="Times New Roman" w:eastAsia="楷体" w:cs="Times New Roman"/>
          <w:b w:val="0"/>
          <w:bCs/>
          <w:color w:val="auto"/>
          <w:sz w:val="21"/>
          <w:szCs w:val="21"/>
          <w:highlight w:val="none"/>
          <w:lang w:eastAsia="zh-CN"/>
        </w:rPr>
        <w:t>)²] 超过了试验持续时间，表明这些测点的入渗过程以毛细作用为主导。【结论】在斯里兰卡水稻田典型的淹水、高岭石主导及黏土质地条件下，物理机制模型比经验模型具有更高的适用性。鉴于PHILIP模型的参数具有明确的物理意义且依赖于土壤质地，推荐在实际工程中应用该模型，以便在缺乏人工实测数据的区域估算入渗参数。</w:t>
      </w:r>
    </w:p>
    <w:p w14:paraId="4E265824">
      <w:pPr>
        <w:spacing w:after="0" w:line="360" w:lineRule="auto"/>
        <w:jc w:val="both"/>
        <w:rPr>
          <w:rFonts w:hint="default" w:ascii="Times New Roman" w:hAnsi="Times New Roman" w:eastAsia="楷体" w:cs="Times New Roman"/>
          <w:color w:val="auto"/>
          <w:sz w:val="21"/>
          <w:szCs w:val="21"/>
          <w:highlight w:val="none"/>
          <w:lang w:eastAsia="zh-CN"/>
        </w:rPr>
      </w:pPr>
      <w:r>
        <w:rPr>
          <w:rStyle w:val="23"/>
          <w:rFonts w:hint="default" w:ascii="Times New Roman" w:hAnsi="Times New Roman" w:eastAsia="黑体" w:cs="Times New Roman"/>
          <w:color w:val="auto"/>
          <w:sz w:val="21"/>
          <w:szCs w:val="21"/>
          <w:highlight w:val="none"/>
          <w:lang w:eastAsia="zh-CN"/>
        </w:rPr>
        <w:t>关键词</w:t>
      </w:r>
      <w:r>
        <w:rPr>
          <w:rFonts w:hint="default" w:ascii="Times New Roman" w:hAnsi="Times New Roman" w:eastAsia="楷体" w:cs="Times New Roman"/>
          <w:color w:val="auto"/>
          <w:sz w:val="21"/>
          <w:szCs w:val="21"/>
          <w:highlight w:val="none"/>
          <w:lang w:eastAsia="zh-CN"/>
        </w:rPr>
        <w:t>：渠道；灌溉；入渗模型；稻田；土壤质地；PHILIP模型；斯里兰卡；水资源</w:t>
      </w:r>
    </w:p>
    <w:p w14:paraId="7779B9AA">
      <w:pPr>
        <w:spacing w:after="0" w:line="360" w:lineRule="auto"/>
        <w:jc w:val="both"/>
        <w:rPr>
          <w:rFonts w:hint="default" w:ascii="Times New Roman" w:hAnsi="Times New Roman" w:eastAsia="楷体" w:cs="Times New Roman"/>
          <w:color w:val="auto"/>
          <w:sz w:val="21"/>
          <w:szCs w:val="21"/>
          <w:highlight w:val="none"/>
          <w:lang w:eastAsia="zh-CN"/>
        </w:rPr>
      </w:pPr>
      <w:r>
        <w:rPr>
          <w:rFonts w:hint="default" w:ascii="Times New Roman" w:hAnsi="Times New Roman" w:eastAsia="楷体" w:cs="Times New Roman"/>
          <w:color w:val="auto"/>
          <w:sz w:val="21"/>
          <w:szCs w:val="21"/>
          <w:highlight w:val="none"/>
          <w:lang w:eastAsia="zh-CN"/>
        </w:rPr>
        <w:t xml:space="preserve">中图分类号：S274.4            文献标志码：A         </w:t>
      </w:r>
    </w:p>
    <w:p w14:paraId="5E29C911">
      <w:pPr>
        <w:pStyle w:val="17"/>
        <w:widowControl w:val="0"/>
        <w:snapToGrid/>
        <w:spacing w:line="240" w:lineRule="auto"/>
        <w:jc w:val="both"/>
        <w:rPr>
          <w:rFonts w:hint="default" w:ascii="Times New Roman" w:hAnsi="Times New Roman" w:eastAsia="黑体" w:cs="Times New Roman"/>
          <w:b/>
          <w:bCs/>
          <w:color w:val="auto"/>
          <w:szCs w:val="18"/>
          <w:highlight w:val="none"/>
          <w:lang w:eastAsia="zh-CN"/>
        </w:rPr>
      </w:pPr>
      <w:r>
        <w:rPr>
          <w:rFonts w:hint="default" w:ascii="Times New Roman" w:hAnsi="Times New Roman" w:eastAsia="黑体" w:cs="Times New Roman"/>
          <w:b/>
          <w:bCs/>
          <w:color w:val="auto"/>
          <w:szCs w:val="18"/>
          <w:highlight w:val="none"/>
          <w:lang w:eastAsia="zh-CN"/>
        </w:rPr>
        <w:t>——————————</w:t>
      </w:r>
    </w:p>
    <w:p w14:paraId="782E27EC">
      <w:pPr>
        <w:pStyle w:val="17"/>
        <w:widowControl w:val="0"/>
        <w:snapToGrid/>
        <w:spacing w:line="240" w:lineRule="auto"/>
        <w:jc w:val="both"/>
        <w:rPr>
          <w:rFonts w:hint="default" w:ascii="Times New Roman" w:hAnsi="Times New Roman" w:eastAsia="黑体" w:cs="Times New Roman"/>
          <w:b/>
          <w:bCs/>
          <w:color w:val="auto"/>
          <w:szCs w:val="18"/>
          <w:highlight w:val="none"/>
          <w:lang w:eastAsia="zh-CN"/>
        </w:rPr>
      </w:pPr>
      <w:r>
        <w:rPr>
          <w:rFonts w:hint="default" w:ascii="Times New Roman" w:hAnsi="Times New Roman" w:eastAsia="黑体" w:cs="Times New Roman"/>
          <w:b/>
          <w:bCs/>
          <w:color w:val="auto"/>
          <w:szCs w:val="18"/>
          <w:highlight w:val="none"/>
        </w:rPr>
        <w:t>Article history:</w:t>
      </w:r>
      <w:r>
        <w:rPr>
          <w:rFonts w:hint="default" w:ascii="Times New Roman" w:hAnsi="Times New Roman" w:eastAsia="黑体" w:cs="Times New Roman"/>
          <w:b/>
          <w:bCs/>
          <w:color w:val="auto"/>
          <w:szCs w:val="18"/>
          <w:highlight w:val="none"/>
          <w:lang w:eastAsia="zh-CN"/>
        </w:rPr>
        <w:t xml:space="preserve"> </w:t>
      </w:r>
      <w:r>
        <w:rPr>
          <w:rFonts w:hint="default" w:ascii="Times New Roman" w:hAnsi="Times New Roman" w:eastAsia="黑体" w:cs="Times New Roman"/>
          <w:color w:val="auto"/>
          <w:szCs w:val="18"/>
          <w:highlight w:val="none"/>
        </w:rPr>
        <w:t xml:space="preserve">Received </w:t>
      </w:r>
      <w:r>
        <w:rPr>
          <w:rFonts w:hint="default" w:ascii="Times New Roman" w:hAnsi="Times New Roman" w:eastAsia="黑体" w:cs="Times New Roman"/>
          <w:color w:val="auto"/>
          <w:szCs w:val="18"/>
          <w:highlight w:val="none"/>
          <w:lang w:eastAsia="zh-CN"/>
        </w:rPr>
        <w:t xml:space="preserve">10 </w:t>
      </w:r>
      <w:r>
        <w:rPr>
          <w:rFonts w:hint="default" w:ascii="Times New Roman" w:hAnsi="Times New Roman" w:eastAsia="黑体" w:cs="Times New Roman"/>
          <w:color w:val="auto"/>
          <w:szCs w:val="18"/>
          <w:highlight w:val="none"/>
        </w:rPr>
        <w:t>June 20</w:t>
      </w:r>
      <w:r>
        <w:rPr>
          <w:rFonts w:hint="default" w:ascii="Times New Roman" w:hAnsi="Times New Roman" w:eastAsia="黑体" w:cs="Times New Roman"/>
          <w:color w:val="auto"/>
          <w:szCs w:val="18"/>
          <w:highlight w:val="none"/>
          <w:lang w:eastAsia="zh-CN"/>
        </w:rPr>
        <w:t>26；Revised</w:t>
      </w:r>
      <w:r>
        <w:rPr>
          <w:rFonts w:hint="default" w:ascii="Times New Roman" w:hAnsi="Times New Roman" w:eastAsia="黑体" w:cs="Times New Roman"/>
          <w:color w:val="auto"/>
          <w:szCs w:val="18"/>
          <w:highlight w:val="none"/>
        </w:rPr>
        <w:t xml:space="preserve"> 30</w:t>
      </w:r>
      <w:r>
        <w:rPr>
          <w:rFonts w:hint="default" w:ascii="Times New Roman" w:hAnsi="Times New Roman" w:eastAsia="黑体" w:cs="Times New Roman"/>
          <w:color w:val="auto"/>
          <w:szCs w:val="18"/>
          <w:highlight w:val="none"/>
          <w:lang w:eastAsia="zh-CN"/>
        </w:rPr>
        <w:t xml:space="preserve"> </w:t>
      </w:r>
      <w:r>
        <w:rPr>
          <w:rFonts w:hint="default" w:ascii="Times New Roman" w:hAnsi="Times New Roman" w:eastAsia="黑体" w:cs="Times New Roman"/>
          <w:color w:val="auto"/>
          <w:szCs w:val="18"/>
          <w:highlight w:val="none"/>
        </w:rPr>
        <w:t>June 20</w:t>
      </w:r>
      <w:r>
        <w:rPr>
          <w:rFonts w:hint="default" w:ascii="Times New Roman" w:hAnsi="Times New Roman" w:eastAsia="黑体" w:cs="Times New Roman"/>
          <w:color w:val="auto"/>
          <w:szCs w:val="18"/>
          <w:highlight w:val="none"/>
          <w:lang w:eastAsia="zh-CN"/>
        </w:rPr>
        <w:t>26；Accepted</w:t>
      </w:r>
      <w:r>
        <w:rPr>
          <w:rFonts w:hint="default" w:ascii="Times New Roman" w:hAnsi="Times New Roman" w:eastAsia="黑体" w:cs="Times New Roman"/>
          <w:color w:val="auto"/>
          <w:szCs w:val="18"/>
          <w:highlight w:val="none"/>
        </w:rPr>
        <w:t xml:space="preserve">  30</w:t>
      </w:r>
      <w:r>
        <w:rPr>
          <w:rFonts w:hint="default" w:ascii="Times New Roman" w:hAnsi="Times New Roman" w:eastAsia="黑体" w:cs="Times New Roman"/>
          <w:color w:val="auto"/>
          <w:szCs w:val="18"/>
          <w:highlight w:val="none"/>
          <w:lang w:eastAsia="zh-CN"/>
        </w:rPr>
        <w:t xml:space="preserve"> </w:t>
      </w:r>
      <w:r>
        <w:rPr>
          <w:rFonts w:hint="default" w:ascii="Times New Roman" w:hAnsi="Times New Roman" w:eastAsia="黑体" w:cs="Times New Roman"/>
          <w:color w:val="auto"/>
          <w:szCs w:val="18"/>
          <w:highlight w:val="none"/>
        </w:rPr>
        <w:t>June 20</w:t>
      </w:r>
      <w:r>
        <w:rPr>
          <w:rFonts w:hint="default" w:ascii="Times New Roman" w:hAnsi="Times New Roman" w:eastAsia="黑体" w:cs="Times New Roman"/>
          <w:color w:val="auto"/>
          <w:szCs w:val="18"/>
          <w:highlight w:val="none"/>
          <w:lang w:eastAsia="zh-CN"/>
        </w:rPr>
        <w:t>26；Available online September 2026</w:t>
      </w:r>
    </w:p>
    <w:p w14:paraId="3286C647">
      <w:pPr>
        <w:pStyle w:val="17"/>
        <w:widowControl w:val="0"/>
        <w:snapToGrid/>
        <w:spacing w:line="240" w:lineRule="auto"/>
        <w:jc w:val="both"/>
        <w:rPr>
          <w:rFonts w:hint="default" w:ascii="Times New Roman" w:hAnsi="Times New Roman" w:cs="Times New Roman"/>
          <w:b/>
          <w:color w:val="auto"/>
          <w:szCs w:val="18"/>
          <w:highlight w:val="none"/>
          <w:lang w:eastAsia="zh-CN"/>
        </w:rPr>
      </w:pPr>
      <w:r>
        <w:rPr>
          <w:rFonts w:hint="default" w:ascii="Times New Roman" w:hAnsi="Times New Roman" w:eastAsia="黑体" w:cs="Times New Roman"/>
          <w:b/>
          <w:bCs/>
          <w:color w:val="auto"/>
          <w:szCs w:val="18"/>
          <w:highlight w:val="none"/>
          <w:lang w:eastAsia="zh-CN"/>
        </w:rPr>
        <w:t>收稿日期：</w:t>
      </w:r>
      <w:r>
        <w:rPr>
          <w:rFonts w:hint="default" w:ascii="Times New Roman" w:hAnsi="Times New Roman" w:cs="Times New Roman"/>
          <w:color w:val="auto"/>
          <w:szCs w:val="18"/>
          <w:highlight w:val="none"/>
          <w:lang w:eastAsia="zh-CN"/>
        </w:rPr>
        <w:t>2026-06-10；</w:t>
      </w:r>
      <w:r>
        <w:rPr>
          <w:rFonts w:hint="default" w:ascii="Times New Roman" w:hAnsi="Times New Roman" w:eastAsia="黑体" w:cs="Times New Roman"/>
          <w:b/>
          <w:bCs/>
          <w:color w:val="auto"/>
          <w:szCs w:val="18"/>
          <w:highlight w:val="none"/>
          <w:lang w:eastAsia="zh-CN"/>
        </w:rPr>
        <w:t>修回日期</w:t>
      </w:r>
      <w:r>
        <w:rPr>
          <w:rFonts w:hint="default" w:ascii="Times New Roman" w:hAnsi="Times New Roman" w:cs="Times New Roman"/>
          <w:color w:val="auto"/>
          <w:szCs w:val="18"/>
          <w:highlight w:val="none"/>
          <w:lang w:eastAsia="zh-CN"/>
        </w:rPr>
        <w:t>：2026-06-30；</w:t>
      </w:r>
      <w:r>
        <w:rPr>
          <w:rFonts w:hint="default" w:ascii="Times New Roman" w:hAnsi="Times New Roman" w:eastAsia="黑体" w:cs="Times New Roman"/>
          <w:b/>
          <w:bCs/>
          <w:color w:val="auto"/>
          <w:szCs w:val="18"/>
          <w:highlight w:val="none"/>
          <w:lang w:eastAsia="zh-CN"/>
        </w:rPr>
        <w:t>录用日期：</w:t>
      </w:r>
      <w:r>
        <w:rPr>
          <w:rFonts w:hint="default" w:ascii="Times New Roman" w:hAnsi="Times New Roman" w:cs="Times New Roman"/>
          <w:color w:val="auto"/>
          <w:szCs w:val="18"/>
          <w:highlight w:val="none"/>
          <w:lang w:eastAsia="zh-CN"/>
        </w:rPr>
        <w:t>2026-06-30；</w:t>
      </w:r>
      <w:r>
        <w:rPr>
          <w:rFonts w:hint="default" w:ascii="Times New Roman" w:hAnsi="Times New Roman" w:eastAsia="黑体" w:cs="Times New Roman"/>
          <w:b/>
          <w:bCs/>
          <w:color w:val="auto"/>
          <w:szCs w:val="18"/>
          <w:highlight w:val="none"/>
          <w:lang w:eastAsia="zh-CN"/>
        </w:rPr>
        <w:t>网络出版日期：</w:t>
      </w:r>
      <w:r>
        <w:rPr>
          <w:rFonts w:hint="default" w:ascii="Times New Roman" w:hAnsi="Times New Roman" w:cs="Times New Roman"/>
          <w:color w:val="auto"/>
          <w:szCs w:val="18"/>
          <w:highlight w:val="none"/>
          <w:lang w:eastAsia="zh-CN"/>
        </w:rPr>
        <w:t>2026-09</w:t>
      </w:r>
    </w:p>
    <w:p w14:paraId="51FC3CE6">
      <w:pPr>
        <w:pStyle w:val="17"/>
        <w:widowControl w:val="0"/>
        <w:spacing w:line="240" w:lineRule="auto"/>
        <w:jc w:val="both"/>
        <w:rPr>
          <w:rFonts w:hint="default" w:ascii="Times New Roman" w:hAnsi="Times New Roman" w:eastAsia="黑体" w:cs="Times New Roman"/>
          <w:b/>
          <w:bCs/>
          <w:color w:val="auto"/>
          <w:spacing w:val="-2"/>
          <w:szCs w:val="18"/>
          <w:highlight w:val="none"/>
          <w:lang w:eastAsia="zh-CN"/>
        </w:rPr>
      </w:pPr>
      <w:r>
        <w:rPr>
          <w:rFonts w:hint="default" w:ascii="Times New Roman" w:hAnsi="Times New Roman" w:eastAsia="黑体" w:cs="Times New Roman"/>
          <w:b/>
          <w:bCs/>
          <w:color w:val="auto"/>
          <w:spacing w:val="-2"/>
          <w:szCs w:val="18"/>
          <w:highlight w:val="none"/>
        </w:rPr>
        <w:t>Financial Aid</w:t>
      </w:r>
      <w:r>
        <w:rPr>
          <w:rFonts w:hint="default" w:ascii="Times New Roman" w:hAnsi="Times New Roman" w:eastAsia="黑体" w:cs="Times New Roman"/>
          <w:b/>
          <w:bCs/>
          <w:color w:val="auto"/>
          <w:spacing w:val="-2"/>
          <w:szCs w:val="18"/>
          <w:highlight w:val="none"/>
          <w:lang w:eastAsia="zh-CN"/>
        </w:rPr>
        <w:t>：</w:t>
      </w:r>
      <w:r>
        <w:rPr>
          <w:rFonts w:hint="default" w:ascii="Times New Roman" w:hAnsi="Times New Roman" w:eastAsia="黑体" w:cs="Times New Roman"/>
          <w:color w:val="auto"/>
          <w:spacing w:val="-2"/>
          <w:szCs w:val="18"/>
          <w:highlight w:val="none"/>
          <w:lang w:eastAsia="zh-CN"/>
        </w:rPr>
        <w:t>Research Grant from Water Resources Management and Soft Computing Research Laboratory, Sri Lanka(2025/RP03)</w:t>
      </w:r>
    </w:p>
    <w:p w14:paraId="5CDD3B09">
      <w:pPr>
        <w:pStyle w:val="17"/>
        <w:widowControl w:val="0"/>
        <w:spacing w:line="240" w:lineRule="auto"/>
        <w:jc w:val="both"/>
        <w:rPr>
          <w:rFonts w:hint="default" w:ascii="Times New Roman" w:hAnsi="Times New Roman" w:cs="Times New Roman"/>
          <w:color w:val="auto"/>
          <w:szCs w:val="18"/>
          <w:highlight w:val="none"/>
          <w:lang w:eastAsia="zh-CN"/>
        </w:rPr>
      </w:pPr>
      <w:r>
        <w:rPr>
          <w:rFonts w:hint="default" w:ascii="Times New Roman" w:hAnsi="Times New Roman" w:eastAsia="黑体" w:cs="Times New Roman"/>
          <w:b/>
          <w:bCs/>
          <w:color w:val="auto"/>
          <w:spacing w:val="-2"/>
          <w:szCs w:val="18"/>
          <w:highlight w:val="none"/>
          <w:lang w:eastAsia="zh-CN"/>
        </w:rPr>
        <w:t>基金项目：斯里兰卡水资源管理与软计算研究实验室资助项目(2025/RP03)</w:t>
      </w:r>
    </w:p>
    <w:p w14:paraId="4E5E5A39">
      <w:pPr>
        <w:pStyle w:val="17"/>
        <w:widowControl w:val="0"/>
        <w:spacing w:line="240" w:lineRule="auto"/>
        <w:jc w:val="both"/>
        <w:rPr>
          <w:rFonts w:hint="default" w:ascii="Times New Roman" w:hAnsi="Times New Roman" w:eastAsia="宋体" w:cs="Times New Roman"/>
          <w:color w:val="auto"/>
          <w:szCs w:val="18"/>
          <w:highlight w:val="none"/>
          <w:lang w:eastAsia="zh-CN"/>
        </w:rPr>
      </w:pPr>
      <w:r>
        <w:rPr>
          <w:rFonts w:hint="default" w:ascii="Times New Roman" w:hAnsi="Times New Roman" w:cs="Times New Roman"/>
          <w:b/>
          <w:bCs/>
          <w:color w:val="auto"/>
          <w:szCs w:val="18"/>
          <w:highlight w:val="none"/>
        </w:rPr>
        <w:t>About the author</w:t>
      </w:r>
      <w:r>
        <w:rPr>
          <w:rFonts w:hint="default" w:ascii="Times New Roman" w:hAnsi="Times New Roman" w:cs="Times New Roman"/>
          <w:b/>
          <w:bCs/>
          <w:color w:val="auto"/>
          <w:szCs w:val="18"/>
          <w:highlight w:val="none"/>
          <w:lang w:eastAsia="zh-CN"/>
        </w:rPr>
        <w:t>：</w:t>
      </w:r>
      <w:r>
        <w:rPr>
          <w:rFonts w:hint="default" w:ascii="Times New Roman" w:hAnsi="Times New Roman" w:cs="Times New Roman"/>
          <w:color w:val="auto"/>
          <w:szCs w:val="18"/>
          <w:highlight w:val="none"/>
          <w:lang w:eastAsia="zh-CN"/>
        </w:rPr>
        <w:t xml:space="preserve">SUMANASEKARA Harindu S（1993-），male，Senior Civil Engineer, M.Eng.，mainly engaged in water resources management research. </w:t>
      </w:r>
      <w:r>
        <w:rPr>
          <w:rFonts w:hint="default" w:ascii="Times New Roman" w:hAnsi="Times New Roman" w:cs="Times New Roman"/>
          <w:color w:val="auto"/>
          <w:spacing w:val="4"/>
          <w:szCs w:val="18"/>
          <w:highlight w:val="none"/>
          <w:lang w:eastAsia="zh-CN"/>
        </w:rPr>
        <w:t>E-mail：sathsarasumanasekara93@gmail.com</w:t>
      </w:r>
    </w:p>
    <w:p w14:paraId="75290BD2">
      <w:pPr>
        <w:widowControl w:val="0"/>
        <w:spacing w:line="240" w:lineRule="auto"/>
        <w:jc w:val="both"/>
        <w:rPr>
          <w:rFonts w:hint="default" w:ascii="Times New Roman" w:hAnsi="Times New Roman" w:cs="Times New Roman"/>
          <w:color w:val="auto"/>
          <w:spacing w:val="4"/>
          <w:sz w:val="18"/>
          <w:szCs w:val="18"/>
          <w:highlight w:val="none"/>
          <w:lang w:eastAsia="zh-CN"/>
        </w:rPr>
      </w:pPr>
      <w:r>
        <w:rPr>
          <w:rFonts w:hint="default" w:ascii="Times New Roman" w:hAnsi="Times New Roman" w:eastAsia="黑体" w:cs="Times New Roman"/>
          <w:b/>
          <w:bCs/>
          <w:color w:val="auto"/>
          <w:spacing w:val="-2"/>
          <w:sz w:val="18"/>
          <w:szCs w:val="18"/>
          <w:highlight w:val="none"/>
          <w:lang w:eastAsia="zh-CN"/>
        </w:rPr>
        <w:t>作者简介：</w:t>
      </w:r>
      <w:r>
        <w:rPr>
          <w:rFonts w:hint="default" w:ascii="Times New Roman" w:hAnsi="Times New Roman" w:cs="Times New Roman"/>
          <w:color w:val="auto"/>
          <w:sz w:val="18"/>
          <w:szCs w:val="18"/>
          <w:highlight w:val="none"/>
          <w:lang w:eastAsia="zh-CN"/>
        </w:rPr>
        <w:t>SUMANASEKARA H S（1993—），</w:t>
      </w:r>
      <w:r>
        <w:rPr>
          <w:rFonts w:hint="default" w:ascii="Times New Roman" w:hAnsi="Times New Roman" w:cs="Times New Roman"/>
          <w:color w:val="auto"/>
          <w:spacing w:val="4"/>
          <w:sz w:val="18"/>
          <w:szCs w:val="18"/>
          <w:highlight w:val="none"/>
          <w:lang w:eastAsia="zh-CN"/>
        </w:rPr>
        <w:t>男，高级土木工程师，硕士，主要从事水资源管理研究。E-mail：sathsarasumanasekara93@gmail.com</w:t>
      </w:r>
    </w:p>
    <w:p w14:paraId="13CBEA63">
      <w:pPr>
        <w:pStyle w:val="17"/>
        <w:widowControl w:val="0"/>
        <w:spacing w:line="240" w:lineRule="auto"/>
        <w:jc w:val="both"/>
        <w:rPr>
          <w:rFonts w:hint="default" w:ascii="Times New Roman" w:hAnsi="Times New Roman" w:cs="Times New Roman"/>
          <w:color w:val="auto"/>
          <w:szCs w:val="18"/>
          <w:highlight w:val="none"/>
          <w:lang w:eastAsia="zh-CN"/>
        </w:rPr>
      </w:pPr>
      <w:r>
        <w:rPr>
          <w:rFonts w:hint="default" w:ascii="Times New Roman" w:hAnsi="Times New Roman" w:cs="Times New Roman"/>
          <w:b/>
          <w:bCs/>
          <w:color w:val="auto"/>
          <w:szCs w:val="18"/>
          <w:highlight w:val="none"/>
          <w:lang w:eastAsia="zh-CN"/>
        </w:rPr>
        <w:t>Corresponding author：</w:t>
      </w:r>
      <w:r>
        <w:rPr>
          <w:rFonts w:hint="default" w:ascii="Times New Roman" w:hAnsi="Times New Roman" w:cs="Times New Roman"/>
          <w:color w:val="auto"/>
          <w:szCs w:val="18"/>
          <w:highlight w:val="none"/>
          <w:lang w:eastAsia="zh-CN"/>
        </w:rPr>
        <w:t xml:space="preserve">RATHNAYAKE Upaka（1981-），male，Professor，Ph.D.，mainly engaged in water resources management research. </w:t>
      </w:r>
      <w:r>
        <w:rPr>
          <w:rFonts w:hint="default" w:ascii="Times New Roman" w:hAnsi="Times New Roman" w:cs="Times New Roman"/>
          <w:color w:val="auto"/>
          <w:spacing w:val="4"/>
          <w:szCs w:val="18"/>
          <w:highlight w:val="none"/>
          <w:lang w:eastAsia="zh-CN"/>
        </w:rPr>
        <w:t>E-mail：upaka.rathnayake@atu.ie</w:t>
      </w:r>
    </w:p>
    <w:p w14:paraId="35C77171">
      <w:pPr>
        <w:widowControl w:val="0"/>
        <w:spacing w:line="240" w:lineRule="auto"/>
        <w:jc w:val="both"/>
        <w:rPr>
          <w:rFonts w:hint="default" w:ascii="Times New Roman" w:hAnsi="Times New Roman" w:cs="Times New Roman"/>
          <w:color w:val="auto"/>
          <w:spacing w:val="4"/>
          <w:sz w:val="18"/>
          <w:szCs w:val="18"/>
          <w:highlight w:val="none"/>
          <w:lang w:eastAsia="zh-CN"/>
        </w:rPr>
      </w:pPr>
      <w:r>
        <w:rPr>
          <w:rFonts w:hint="default" w:ascii="Times New Roman" w:hAnsi="Times New Roman" w:eastAsia="黑体" w:cs="Times New Roman"/>
          <w:b/>
          <w:bCs/>
          <w:color w:val="auto"/>
          <w:spacing w:val="-2"/>
          <w:sz w:val="18"/>
          <w:szCs w:val="18"/>
          <w:highlight w:val="none"/>
          <w:lang w:eastAsia="zh-CN"/>
        </w:rPr>
        <w:t>通信作者：</w:t>
      </w:r>
      <w:r>
        <w:rPr>
          <w:rFonts w:hint="default" w:ascii="Times New Roman" w:hAnsi="Times New Roman" w:eastAsia="黑体" w:cs="Times New Roman"/>
          <w:color w:val="auto"/>
          <w:spacing w:val="-2"/>
          <w:sz w:val="18"/>
          <w:szCs w:val="18"/>
          <w:highlight w:val="none"/>
          <w:lang w:eastAsia="zh-CN"/>
        </w:rPr>
        <w:t>RATHNAYAKE U</w:t>
      </w:r>
      <w:r>
        <w:rPr>
          <w:rFonts w:hint="default" w:ascii="Times New Roman" w:hAnsi="Times New Roman" w:cs="Times New Roman"/>
          <w:color w:val="auto"/>
          <w:spacing w:val="4"/>
          <w:sz w:val="18"/>
          <w:szCs w:val="18"/>
          <w:highlight w:val="none"/>
          <w:lang w:eastAsia="zh-CN"/>
        </w:rPr>
        <w:t>（</w:t>
      </w:r>
      <w:r>
        <w:rPr>
          <w:rFonts w:hint="default" w:ascii="Times New Roman" w:hAnsi="Times New Roman" w:cs="Times New Roman"/>
          <w:color w:val="auto"/>
          <w:sz w:val="18"/>
          <w:szCs w:val="18"/>
          <w:highlight w:val="none"/>
          <w:lang w:eastAsia="zh-CN"/>
        </w:rPr>
        <w:t>1981</w:t>
      </w:r>
      <w:r>
        <w:rPr>
          <w:rFonts w:hint="default" w:ascii="Times New Roman" w:hAnsi="Times New Roman" w:cs="Times New Roman"/>
          <w:color w:val="auto"/>
          <w:spacing w:val="4"/>
          <w:sz w:val="18"/>
          <w:szCs w:val="18"/>
          <w:highlight w:val="none"/>
          <w:lang w:eastAsia="zh-CN"/>
        </w:rPr>
        <w:t>—），男，教授，博士，主要从事水资源管理研究。E-mail：upaka.rathnayake@atu.ie</w:t>
      </w:r>
    </w:p>
    <w:p w14:paraId="26035108">
      <w:pPr>
        <w:rPr>
          <w:rFonts w:hint="default" w:ascii="Times New Roman" w:hAnsi="Times New Roman" w:cs="Times New Roman"/>
          <w:color w:val="auto"/>
          <w:spacing w:val="4"/>
          <w:sz w:val="15"/>
          <w:szCs w:val="15"/>
          <w:highlight w:val="none"/>
        </w:rPr>
      </w:pPr>
      <w:r>
        <w:rPr>
          <w:rFonts w:hint="default" w:ascii="Times New Roman" w:hAnsi="Times New Roman" w:cs="Times New Roman"/>
          <w:color w:val="auto"/>
          <w:spacing w:val="4"/>
          <w:sz w:val="15"/>
          <w:szCs w:val="15"/>
          <w:highlight w:val="none"/>
        </w:rPr>
        <w:t>© Editorial Department of Water Resources and Hydropower Engineering. This is an open access article under the CC BY-NC-ND license.</w:t>
      </w:r>
    </w:p>
    <w:p w14:paraId="68485B66">
      <w:pPr>
        <w:spacing w:after="0" w:line="360" w:lineRule="auto"/>
        <w:rPr>
          <w:rFonts w:hint="default" w:ascii="Times New Roman" w:hAnsi="Times New Roman" w:eastAsia="宋体" w:cs="Times New Roman"/>
          <w:b/>
          <w:bCs/>
          <w:color w:val="auto"/>
          <w:sz w:val="21"/>
          <w:szCs w:val="21"/>
          <w:highlight w:val="none"/>
        </w:rPr>
      </w:pPr>
    </w:p>
    <w:p w14:paraId="53B9A11F">
      <w:pPr>
        <w:spacing w:after="0" w:line="360" w:lineRule="auto"/>
        <w:ind w:left="720" w:hanging="360"/>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w:t>
      </w:r>
      <w:r>
        <w:rPr>
          <w:rFonts w:hint="default" w:ascii="Times New Roman" w:hAnsi="Times New Roman" w:cs="Times New Roman"/>
          <w:b/>
          <w:bCs/>
          <w:color w:val="auto"/>
          <w:sz w:val="24"/>
          <w:szCs w:val="24"/>
          <w:highlight w:val="none"/>
        </w:rPr>
        <w:tab/>
      </w:r>
      <w:r>
        <w:rPr>
          <w:rFonts w:hint="default" w:ascii="Times New Roman" w:hAnsi="Times New Roman" w:cs="Times New Roman"/>
          <w:b/>
          <w:bCs/>
          <w:color w:val="auto"/>
          <w:sz w:val="24"/>
          <w:szCs w:val="24"/>
          <w:highlight w:val="none"/>
        </w:rPr>
        <w:t>Introduction</w:t>
      </w:r>
    </w:p>
    <w:p w14:paraId="6D263402">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Infiltration, the process by which water enters the soil, plays a pivotal role in soil and water conservation </w:t>
      </w:r>
      <w:r>
        <w:rPr>
          <w:rFonts w:hint="default" w:ascii="Times New Roman" w:hAnsi="Times New Roman" w:cs="Times New Roman"/>
          <w:color w:val="auto"/>
          <w:sz w:val="21"/>
          <w:szCs w:val="21"/>
          <w:highlight w:val="none"/>
          <w:shd w:val="clear" w:color="auto" w:fill="FFFFFF"/>
        </w:rPr>
        <w:t>because it determines surface runoff during irrigation and precipitation events</w:t>
      </w:r>
      <w:sdt>
        <w:sdtPr>
          <w:rPr>
            <w:rFonts w:hint="default" w:ascii="Times New Roman" w:hAnsi="Times New Roman" w:cs="Times New Roman"/>
            <w:color w:val="auto"/>
            <w:sz w:val="21"/>
            <w:szCs w:val="21"/>
            <w:highlight w:val="none"/>
          </w:rPr>
          <w:id w:val="922919424"/>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w:t>
          </w:r>
        </w:sdtContent>
      </w:sdt>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shd w:val="clear" w:color="auto" w:fill="FFFFFF"/>
        </w:rPr>
        <w:t>The rate at which soil absorbs water, and therefore its ability to handle heavy rainfall or irrigation,</w:t>
      </w:r>
      <w:r>
        <w:rPr>
          <w:rFonts w:hint="default" w:ascii="Times New Roman" w:hAnsi="Times New Roman" w:cs="Times New Roman"/>
          <w:color w:val="auto"/>
          <w:sz w:val="21"/>
          <w:szCs w:val="21"/>
          <w:highlight w:val="none"/>
        </w:rPr>
        <w:t xml:space="preserve"> depends on the characteristics of the soil</w:t>
      </w:r>
      <w:sdt>
        <w:sdtPr>
          <w:rPr>
            <w:rFonts w:hint="default" w:ascii="Times New Roman" w:hAnsi="Times New Roman" w:cs="Times New Roman"/>
            <w:color w:val="auto"/>
            <w:sz w:val="21"/>
            <w:szCs w:val="21"/>
            <w:highlight w:val="none"/>
          </w:rPr>
          <w:id w:val="613790412"/>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[2]</w:t>
          </w:r>
        </w:sdtContent>
      </w:sdt>
      <w:r>
        <w:rPr>
          <w:rFonts w:hint="default" w:ascii="Times New Roman" w:hAnsi="Times New Roman" w:cs="Times New Roman"/>
          <w:color w:val="auto"/>
          <w:sz w:val="21"/>
          <w:szCs w:val="21"/>
          <w:highlight w:val="none"/>
        </w:rPr>
        <w:t xml:space="preserve">. Assessing soil infiltration characteristics and determining the final steady infiltration rate are required to enhance irrigation water use efficiency, design irrigation systems, and reduce water and soil losses, which are critical in agricultural water management </w:t>
      </w:r>
      <w:sdt>
        <w:sdtPr>
          <w:rPr>
            <w:rFonts w:hint="default" w:ascii="Times New Roman" w:hAnsi="Times New Roman" w:cs="Times New Roman"/>
            <w:color w:val="auto"/>
            <w:sz w:val="21"/>
            <w:szCs w:val="21"/>
            <w:highlight w:val="none"/>
            <w:vertAlign w:val="superscript"/>
          </w:rPr>
          <w:id w:val="-1"/>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[3]</w:t>
          </w:r>
        </w:sdtContent>
      </w:sdt>
      <w:r>
        <w:rPr>
          <w:rFonts w:hint="default" w:ascii="Times New Roman" w:hAnsi="Times New Roman" w:cs="Times New Roman"/>
          <w:color w:val="auto"/>
          <w:sz w:val="21"/>
          <w:szCs w:val="21"/>
          <w:highlight w:val="none"/>
        </w:rPr>
        <w:t xml:space="preserve">. However, </w:t>
      </w:r>
      <w:r>
        <w:rPr>
          <w:rFonts w:hint="default" w:ascii="Times New Roman" w:hAnsi="Times New Roman" w:cs="Times New Roman"/>
          <w:color w:val="auto"/>
          <w:sz w:val="21"/>
          <w:szCs w:val="21"/>
          <w:highlight w:val="none"/>
          <w:shd w:val="clear" w:color="auto" w:fill="FFFFFF"/>
        </w:rPr>
        <w:t>a poor infiltration capacity increases the risk of runoff and erosion, which can lead to loss of topsoil, reduced soil fertility, and decreased water availability for plants within their root zone</w:t>
      </w:r>
      <w:r>
        <w:rPr>
          <w:rFonts w:hint="default" w:ascii="Times New Roman" w:hAnsi="Times New Roman" w:cs="Times New Roman"/>
          <w:color w:val="auto"/>
          <w:sz w:val="21"/>
          <w:szCs w:val="21"/>
          <w:highlight w:val="none"/>
        </w:rPr>
        <w:t xml:space="preserve"> </w:t>
      </w:r>
      <w:sdt>
        <w:sdtPr>
          <w:rPr>
            <w:rFonts w:hint="default" w:ascii="Times New Roman" w:hAnsi="Times New Roman" w:cs="Times New Roman"/>
            <w:color w:val="auto"/>
            <w:sz w:val="21"/>
            <w:szCs w:val="21"/>
            <w:highlight w:val="none"/>
            <w:vertAlign w:val="superscript"/>
          </w:rPr>
          <w:id w:val="1042018556"/>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[4]</w:t>
          </w:r>
        </w:sdtContent>
      </w:sdt>
      <w:r>
        <w:rPr>
          <w:rFonts w:hint="default" w:ascii="Times New Roman" w:hAnsi="Times New Roman" w:cs="Times New Roman"/>
          <w:color w:val="auto"/>
          <w:sz w:val="21"/>
          <w:szCs w:val="21"/>
          <w:highlight w:val="none"/>
        </w:rPr>
        <w:t>. This makes it difficult for the soil to meet the required water demand for crop production. The effectiveness of the design, operation, and management of surface irrigation systems depends on the infiltration behavior or characteristics of the soil such as inflow rate (how much water is applied), length of run (how far the water travels across the field), application time (how long the water is applied), and depth of percolation (how deep the water moves into the soil)</w:t>
      </w:r>
      <w:sdt>
        <w:sdtPr>
          <w:rPr>
            <w:rFonts w:hint="default" w:ascii="Times New Roman" w:hAnsi="Times New Roman" w:cs="Times New Roman"/>
            <w:color w:val="auto"/>
            <w:sz w:val="21"/>
            <w:szCs w:val="21"/>
            <w:highlight w:val="none"/>
          </w:rPr>
          <w:id w:val="93854057"/>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vertAlign w:val="superscript"/>
            </w:rPr>
            <w:t>[5]</w:t>
          </w:r>
        </w:sdtContent>
      </w:sdt>
      <w:r>
        <w:rPr>
          <w:rFonts w:hint="default" w:ascii="Times New Roman" w:hAnsi="Times New Roman" w:cs="Times New Roman"/>
          <w:color w:val="auto"/>
          <w:sz w:val="21"/>
          <w:szCs w:val="21"/>
          <w:highlight w:val="none"/>
        </w:rPr>
        <w:t xml:space="preserve">. These infiltration characteristics of the soil are </w:t>
      </w:r>
      <w:r>
        <w:rPr>
          <w:rFonts w:hint="default" w:ascii="Times New Roman" w:hAnsi="Times New Roman" w:cs="Times New Roman"/>
          <w:color w:val="auto"/>
          <w:sz w:val="21"/>
          <w:szCs w:val="21"/>
          <w:highlight w:val="none"/>
          <w:shd w:val="clear" w:color="auto" w:fill="FFFFFF"/>
        </w:rPr>
        <w:t>established by incorporating them into</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shd w:val="clear" w:color="auto" w:fill="FFFFFF"/>
        </w:rPr>
        <w:t>mathematical infiltration models</w:t>
      </w:r>
      <w:r>
        <w:rPr>
          <w:rFonts w:hint="default" w:ascii="Times New Roman" w:hAnsi="Times New Roman" w:cs="Times New Roman"/>
          <w:color w:val="auto"/>
          <w:sz w:val="21"/>
          <w:szCs w:val="21"/>
          <w:highlight w:val="none"/>
        </w:rPr>
        <w:t xml:space="preserve"> and these models significantly reduce the time and cost of field measurement of infiltration</w:t>
      </w:r>
      <w:sdt>
        <w:sdtPr>
          <w:rPr>
            <w:rFonts w:hint="default" w:ascii="Times New Roman" w:hAnsi="Times New Roman" w:cs="Times New Roman"/>
            <w:color w:val="auto"/>
            <w:sz w:val="21"/>
            <w:szCs w:val="21"/>
            <w:highlight w:val="none"/>
          </w:rPr>
          <w:id w:val="1094825103"/>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vertAlign w:val="superscript"/>
            </w:rPr>
            <w:t>[1]</w:t>
          </w:r>
        </w:sdtContent>
      </w:sdt>
      <w:r>
        <w:rPr>
          <w:rFonts w:hint="default" w:ascii="Times New Roman" w:hAnsi="Times New Roman" w:cs="Times New Roman"/>
          <w:color w:val="auto"/>
          <w:sz w:val="21"/>
          <w:szCs w:val="21"/>
          <w:highlight w:val="none"/>
        </w:rPr>
        <w:t>.</w:t>
      </w:r>
    </w:p>
    <w:p w14:paraId="18905429">
      <w:pPr>
        <w:spacing w:after="0" w:line="360" w:lineRule="auto"/>
        <w:ind w:firstLine="420" w:firstLineChars="20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Infiltration models can be classified into three general categories such as physically based, semi-empirical, and empirical </w:t>
      </w:r>
      <w:sdt>
        <w:sdtPr>
          <w:rPr>
            <w:rFonts w:hint="default" w:ascii="Times New Roman" w:hAnsi="Times New Roman" w:cs="Times New Roman"/>
            <w:color w:val="auto"/>
            <w:sz w:val="21"/>
            <w:szCs w:val="21"/>
            <w:highlight w:val="none"/>
          </w:rPr>
          <w:id w:val="818164835"/>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[6]</w:t>
          </w:r>
        </w:sdtContent>
      </w:sdt>
      <w:r>
        <w:rPr>
          <w:rFonts w:hint="default" w:ascii="Times New Roman" w:hAnsi="Times New Roman" w:cs="Times New Roman"/>
          <w:color w:val="auto"/>
          <w:sz w:val="21"/>
          <w:szCs w:val="21"/>
          <w:highlight w:val="none"/>
        </w:rPr>
        <w:t xml:space="preserve">. Physically based models heavily depend on the law of conservation of mass, energy balance, and Darcy’s Law. </w:t>
      </w:r>
      <w:r>
        <w:rPr>
          <w:rFonts w:hint="default" w:ascii="Times New Roman" w:hAnsi="Times New Roman" w:cs="Times New Roman"/>
          <w:color w:val="auto"/>
          <w:sz w:val="21"/>
          <w:szCs w:val="21"/>
          <w:highlight w:val="none"/>
          <w:shd w:val="clear" w:color="auto" w:fill="FFFFFF"/>
        </w:rPr>
        <w:t>Physically based models of different complexities have been developed based on factors such as dimensionality, flow dynamics, hydraulic conductivity, water retention characteristics, and initial and boundary conditions.</w:t>
      </w:r>
      <w:r>
        <w:rPr>
          <w:rFonts w:hint="default" w:ascii="Times New Roman" w:hAnsi="Times New Roman" w:cs="Times New Roman"/>
          <w:color w:val="auto"/>
          <w:sz w:val="21"/>
          <w:szCs w:val="21"/>
          <w:highlight w:val="none"/>
        </w:rPr>
        <w:t xml:space="preserve"> Some popular examples of such models by “</w:t>
      </w:r>
      <w:r>
        <w:rPr>
          <w:rFonts w:hint="default" w:ascii="Times New Roman" w:hAnsi="Times New Roman" w:cs="Times New Roman"/>
          <w:color w:val="auto"/>
          <w:sz w:val="21"/>
          <w:szCs w:val="21"/>
          <w:highlight w:val="none"/>
        </w:rPr>
        <w:t>GREEN</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AMPT</w:t>
      </w:r>
      <w:sdt>
        <w:sdtPr>
          <w:rPr>
            <w:rFonts w:hint="default" w:ascii="Times New Roman" w:hAnsi="Times New Roman" w:cs="Times New Roman"/>
            <w:color w:val="auto"/>
            <w:sz w:val="21"/>
            <w:szCs w:val="21"/>
            <w:highlight w:val="none"/>
          </w:rPr>
          <w:id w:val="1158799475"/>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[7]</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PHILIP</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816768231"/>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[8]</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MEIN</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LARSON</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1199516462"/>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[9]</w:t>
          </w:r>
        </w:sdtContent>
      </w:sdt>
      <w:r>
        <w:rPr>
          <w:rFonts w:hint="default" w:ascii="Times New Roman" w:hAnsi="Times New Roman" w:cs="Times New Roman"/>
          <w:color w:val="auto"/>
          <w:sz w:val="21"/>
          <w:szCs w:val="21"/>
          <w:highlight w:val="none"/>
        </w:rPr>
        <w:t>”, and “</w:t>
      </w:r>
      <w:r>
        <w:rPr>
          <w:rFonts w:hint="default" w:ascii="Times New Roman" w:hAnsi="Times New Roman" w:cs="Times New Roman"/>
          <w:color w:val="auto"/>
          <w:sz w:val="21"/>
          <w:szCs w:val="21"/>
          <w:highlight w:val="none"/>
        </w:rPr>
        <w:t>SMITH</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PARLANGE</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566980556"/>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[10]</w:t>
          </w:r>
        </w:sdtContent>
      </w:sdt>
      <w:r>
        <w:rPr>
          <w:rFonts w:hint="default" w:ascii="Times New Roman" w:hAnsi="Times New Roman" w:cs="Times New Roman"/>
          <w:color w:val="auto"/>
          <w:sz w:val="21"/>
          <w:szCs w:val="21"/>
          <w:highlight w:val="none"/>
        </w:rPr>
        <w:t xml:space="preserve"> ”. Semi-empirical models employ simple forms of continuity equation (often spatially lumped) and simple hypotheses on the infiltration rate cumulative infiltration relation (or the flux-concentration relation). </w:t>
      </w:r>
      <w:r>
        <w:rPr>
          <w:rFonts w:hint="default" w:ascii="Times New Roman" w:hAnsi="Times New Roman" w:cs="Times New Roman"/>
          <w:color w:val="auto"/>
          <w:sz w:val="21"/>
          <w:szCs w:val="21"/>
          <w:highlight w:val="none"/>
          <w:shd w:val="clear" w:color="auto" w:fill="FFFFFF"/>
        </w:rPr>
        <w:t xml:space="preserve">These models follow the surface water hydrology and strike a balance between empirical and physically based modeling methods. </w:t>
      </w:r>
      <w:r>
        <w:rPr>
          <w:rFonts w:hint="default" w:ascii="Times New Roman" w:hAnsi="Times New Roman" w:cs="Times New Roman"/>
          <w:color w:val="auto"/>
          <w:sz w:val="21"/>
          <w:szCs w:val="21"/>
          <w:highlight w:val="none"/>
        </w:rPr>
        <w:t>Examples of semi-empirical models are the models of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 </w:t>
      </w:r>
      <w:sdt>
        <w:sdtPr>
          <w:rPr>
            <w:rFonts w:hint="default" w:ascii="Times New Roman" w:hAnsi="Times New Roman" w:cs="Times New Roman"/>
            <w:color w:val="auto"/>
            <w:sz w:val="21"/>
            <w:szCs w:val="21"/>
            <w:highlight w:val="none"/>
          </w:rPr>
          <w:id w:val="1138773703"/>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[11]</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HOLTAN</w:t>
      </w:r>
      <w:r>
        <w:rPr>
          <w:rFonts w:hint="default" w:ascii="Times New Roman" w:hAnsi="Times New Roman" w:cs="Times New Roman"/>
          <w:color w:val="auto"/>
          <w:sz w:val="21"/>
          <w:szCs w:val="21"/>
          <w:highlight w:val="none"/>
        </w:rPr>
        <w:t xml:space="preserve"> </w:t>
      </w:r>
      <w:sdt>
        <w:sdtPr>
          <w:rPr>
            <w:rFonts w:hint="default" w:ascii="Times New Roman" w:hAnsi="Times New Roman" w:cs="Times New Roman"/>
            <w:color w:val="auto"/>
            <w:sz w:val="21"/>
            <w:szCs w:val="21"/>
            <w:highlight w:val="none"/>
            <w:vertAlign w:val="superscript"/>
          </w:rPr>
          <w:id w:val="1117949070"/>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[12]</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SINGH</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YU</w:t>
      </w:r>
      <w:r>
        <w:rPr>
          <w:rFonts w:hint="default" w:ascii="Times New Roman" w:hAnsi="Times New Roman" w:cs="Times New Roman"/>
          <w:color w:val="auto"/>
          <w:sz w:val="21"/>
          <w:szCs w:val="21"/>
          <w:highlight w:val="none"/>
        </w:rPr>
        <w:t xml:space="preserve"> </w:t>
      </w:r>
      <w:sdt>
        <w:sdtPr>
          <w:rPr>
            <w:rFonts w:hint="default" w:ascii="Times New Roman" w:hAnsi="Times New Roman" w:cs="Times New Roman"/>
            <w:color w:val="auto"/>
            <w:sz w:val="21"/>
            <w:szCs w:val="21"/>
            <w:highlight w:val="none"/>
          </w:rPr>
          <w:id w:val="416209739"/>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[13]</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GRIGORJEV</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IRITZ</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824872378"/>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[14]</w:t>
          </w:r>
        </w:sdtContent>
      </w:sdt>
      <w:r>
        <w:rPr>
          <w:rFonts w:hint="default" w:ascii="Times New Roman" w:hAnsi="Times New Roman" w:cs="Times New Roman"/>
          <w:color w:val="auto"/>
          <w:sz w:val="21"/>
          <w:szCs w:val="21"/>
          <w:highlight w:val="none"/>
        </w:rPr>
        <w:t>”. Empirical models are based on data derived from either field or laboratory experiments. Examples of such models are the “</w:t>
      </w:r>
      <w:r>
        <w:rPr>
          <w:rFonts w:hint="default" w:ascii="Times New Roman" w:hAnsi="Times New Roman" w:cs="Times New Roman"/>
          <w:color w:val="auto"/>
          <w:sz w:val="21"/>
          <w:szCs w:val="21"/>
          <w:highlight w:val="none"/>
        </w:rPr>
        <w:t>KOSTIAKOV</w:t>
      </w:r>
      <w:sdt>
        <w:sdtPr>
          <w:rPr>
            <w:rFonts w:hint="default" w:ascii="Times New Roman" w:hAnsi="Times New Roman" w:cs="Times New Roman"/>
            <w:color w:val="auto"/>
            <w:sz w:val="21"/>
            <w:szCs w:val="21"/>
            <w:highlight w:val="none"/>
          </w:rPr>
          <w:id w:val="56195240"/>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[15]</w:t>
          </w:r>
        </w:sdtContent>
      </w:sdt>
      <w:r>
        <w:rPr>
          <w:rFonts w:hint="default" w:ascii="Times New Roman" w:hAnsi="Times New Roman" w:cs="Times New Roman"/>
          <w:color w:val="auto"/>
          <w:sz w:val="21"/>
          <w:szCs w:val="21"/>
          <w:highlight w:val="none"/>
        </w:rPr>
        <w:t>”, “</w:t>
      </w:r>
      <w:r>
        <w:rPr>
          <w:rFonts w:hint="default" w:ascii="Times New Roman" w:hAnsi="Times New Roman" w:cs="Times New Roman"/>
          <w:color w:val="auto"/>
          <w:sz w:val="21"/>
          <w:szCs w:val="21"/>
          <w:highlight w:val="none"/>
        </w:rPr>
        <w:t>HUGGINS</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MONKE</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325846003"/>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[16]</w:t>
          </w:r>
        </w:sdtContent>
      </w:sdt>
      <w:r>
        <w:rPr>
          <w:rFonts w:hint="default" w:ascii="Times New Roman" w:hAnsi="Times New Roman" w:cs="Times New Roman"/>
          <w:color w:val="auto"/>
          <w:sz w:val="21"/>
          <w:szCs w:val="21"/>
          <w:highlight w:val="none"/>
        </w:rPr>
        <w:t>”, and “</w:t>
      </w:r>
      <w:r>
        <w:rPr>
          <w:rFonts w:hint="default" w:ascii="Times New Roman" w:hAnsi="Times New Roman" w:cs="Times New Roman"/>
          <w:color w:val="auto"/>
          <w:sz w:val="21"/>
          <w:szCs w:val="21"/>
          <w:highlight w:val="none"/>
        </w:rPr>
        <w:t>COLLIS-GEORGE</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772131738"/>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[17]</w:t>
          </w:r>
        </w:sdtContent>
      </w:sdt>
      <w:r>
        <w:rPr>
          <w:rFonts w:hint="default" w:ascii="Times New Roman" w:hAnsi="Times New Roman" w:cs="Times New Roman"/>
          <w:color w:val="auto"/>
          <w:sz w:val="21"/>
          <w:szCs w:val="21"/>
          <w:highlight w:val="none"/>
        </w:rPr>
        <w:t xml:space="preserve">” models, among others. Although numerous infiltration models exist, none can be universally applied across all soils, due to the variability in soil texture, hydraulic conductivity, and moisture content. </w:t>
      </w:r>
      <w:r>
        <w:rPr>
          <w:rFonts w:hint="default" w:ascii="Times New Roman" w:hAnsi="Times New Roman" w:cs="Times New Roman"/>
          <w:color w:val="auto"/>
          <w:sz w:val="21"/>
          <w:szCs w:val="21"/>
          <w:highlight w:val="none"/>
          <w:shd w:val="clear" w:color="auto" w:fill="FFFFFF"/>
        </w:rPr>
        <w:t>Numerous researchers have assessed the accuracy of different models by comparing the infiltration rates calculated by the models with the observed rates</w:t>
      </w:r>
      <w:r>
        <w:rPr>
          <w:rFonts w:hint="default" w:ascii="Times New Roman" w:hAnsi="Times New Roman" w:cs="Times New Roman"/>
          <w:color w:val="auto"/>
          <w:sz w:val="21"/>
          <w:szCs w:val="21"/>
          <w:highlight w:val="none"/>
          <w:vertAlign w:val="superscript"/>
        </w:rPr>
        <w:t xml:space="preserve"> </w:t>
      </w:r>
      <w:sdt>
        <w:sdtPr>
          <w:rPr>
            <w:rFonts w:hint="default" w:ascii="Times New Roman" w:hAnsi="Times New Roman" w:cs="Times New Roman"/>
            <w:color w:val="auto"/>
            <w:sz w:val="21"/>
            <w:szCs w:val="21"/>
            <w:highlight w:val="none"/>
            <w:vertAlign w:val="superscript"/>
          </w:rPr>
          <w:id w:val="681166465"/>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[18]</w:t>
          </w:r>
        </w:sdtContent>
      </w:sdt>
      <w:r>
        <w:rPr>
          <w:rFonts w:hint="default" w:ascii="Times New Roman" w:hAnsi="Times New Roman" w:cs="Times New Roman"/>
          <w:color w:val="auto"/>
          <w:sz w:val="21"/>
          <w:szCs w:val="21"/>
          <w:highlight w:val="none"/>
        </w:rPr>
        <w:t xml:space="preserve">. </w:t>
      </w:r>
    </w:p>
    <w:p w14:paraId="404533AB">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baseline"/>
        </w:rPr>
        <w:t>Reference [19]</w:t>
      </w:r>
      <w:r>
        <w:rPr>
          <w:rFonts w:hint="default" w:ascii="Times New Roman" w:hAnsi="Times New Roman" w:cs="Times New Roman"/>
          <w:color w:val="auto"/>
          <w:sz w:val="21"/>
          <w:szCs w:val="21"/>
          <w:highlight w:val="none"/>
          <w:vertAlign w:val="baseline"/>
          <w:lang w:val="en-US"/>
        </w:rPr>
        <w:t xml:space="preserve"> </w:t>
      </w:r>
      <w:r>
        <w:rPr>
          <w:rFonts w:hint="default" w:ascii="Times New Roman" w:hAnsi="Times New Roman" w:cs="Times New Roman"/>
          <w:color w:val="auto"/>
          <w:sz w:val="21"/>
          <w:szCs w:val="21"/>
          <w:highlight w:val="none"/>
        </w:rPr>
        <w:t xml:space="preserve">suggested that </w:t>
      </w:r>
      <w:r>
        <w:rPr>
          <w:rFonts w:hint="default" w:ascii="Times New Roman" w:hAnsi="Times New Roman" w:cs="Times New Roman"/>
          <w:color w:val="auto"/>
          <w:sz w:val="21"/>
          <w:szCs w:val="21"/>
          <w:highlight w:val="none"/>
          <w:shd w:val="clear" w:color="auto" w:fill="FFFFFF"/>
          <w:lang w:eastAsia="zh-CN"/>
        </w:rPr>
        <w:t>HORTON</w:t>
      </w:r>
      <w:r>
        <w:rPr>
          <w:rFonts w:hint="default" w:ascii="Times New Roman" w:hAnsi="Times New Roman" w:cs="Times New Roman"/>
          <w:color w:val="auto"/>
          <w:sz w:val="21"/>
          <w:szCs w:val="21"/>
          <w:highlight w:val="none"/>
          <w:shd w:val="clear" w:color="auto" w:fill="FFFFFF"/>
        </w:rPr>
        <w:t>'s model shows a reasonable estimate of the final infiltration rate based on specific soil texture conditions. Nevertheless, the varying applicability of the models is largely attributed to the complicated factors influencing the final infiltration rate.</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rPr>
        <w:t>DAGADU</w:t>
      </w:r>
      <w:r>
        <w:rPr>
          <w:rFonts w:hint="default" w:ascii="Times New Roman" w:hAnsi="Times New Roman" w:cs="Times New Roman"/>
          <w:color w:val="auto"/>
          <w:sz w:val="21"/>
          <w:szCs w:val="21"/>
          <w:highlight w:val="none"/>
        </w:rPr>
        <w:t xml:space="preserve"> et al. </w:t>
      </w:r>
      <w:sdt>
        <w:sdtPr>
          <w:rPr>
            <w:rFonts w:hint="default" w:ascii="Times New Roman" w:hAnsi="Times New Roman" w:cs="Times New Roman"/>
            <w:color w:val="auto"/>
            <w:sz w:val="21"/>
            <w:szCs w:val="21"/>
            <w:highlight w:val="none"/>
          </w:rPr>
          <w:id w:val="864595857"/>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[20]</w:t>
          </w:r>
        </w:sdtContent>
      </w:sdt>
      <w:r>
        <w:rPr>
          <w:rFonts w:hint="default" w:ascii="Times New Roman" w:hAnsi="Times New Roman" w:cs="Times New Roman"/>
          <w:color w:val="auto"/>
          <w:sz w:val="21"/>
          <w:szCs w:val="21"/>
          <w:highlight w:val="none"/>
        </w:rPr>
        <w:t xml:space="preserve"> conducted infiltration studies on different soils under different soil conditions and compared the infiltration models with field data measured by a Double-ring infiltrometer. </w:t>
      </w:r>
      <w:r>
        <w:rPr>
          <w:rFonts w:hint="default" w:ascii="Times New Roman" w:hAnsi="Times New Roman" w:cs="Times New Roman"/>
          <w:color w:val="auto"/>
          <w:sz w:val="21"/>
          <w:szCs w:val="21"/>
          <w:highlight w:val="none"/>
          <w:shd w:val="clear" w:color="auto" w:fill="FFFFFF"/>
        </w:rPr>
        <w:t xml:space="preserve">They noted that </w:t>
      </w:r>
      <w:r>
        <w:rPr>
          <w:rFonts w:hint="default" w:ascii="Times New Roman" w:hAnsi="Times New Roman" w:cs="Times New Roman"/>
          <w:color w:val="auto"/>
          <w:sz w:val="21"/>
          <w:szCs w:val="21"/>
          <w:highlight w:val="none"/>
          <w:shd w:val="clear" w:color="auto" w:fill="FFFFFF"/>
          <w:lang w:eastAsia="zh-CN"/>
        </w:rPr>
        <w:t>HORTON</w:t>
      </w:r>
      <w:r>
        <w:rPr>
          <w:rFonts w:hint="default" w:ascii="Times New Roman" w:hAnsi="Times New Roman" w:cs="Times New Roman"/>
          <w:color w:val="auto"/>
          <w:sz w:val="21"/>
          <w:szCs w:val="21"/>
          <w:highlight w:val="none"/>
          <w:shd w:val="clear" w:color="auto" w:fill="FFFFFF"/>
        </w:rPr>
        <w:t xml:space="preserve">'s model and </w:t>
      </w:r>
      <w:r>
        <w:rPr>
          <w:rFonts w:hint="default" w:ascii="Times New Roman" w:hAnsi="Times New Roman" w:cs="Times New Roman"/>
          <w:color w:val="auto"/>
          <w:sz w:val="21"/>
          <w:szCs w:val="21"/>
          <w:highlight w:val="none"/>
          <w:shd w:val="clear" w:color="auto" w:fill="FFFFFF"/>
          <w:lang w:eastAsia="zh-CN"/>
        </w:rPr>
        <w:t>GREEN-AMPT</w:t>
      </w:r>
      <w:r>
        <w:rPr>
          <w:rFonts w:hint="default" w:ascii="Times New Roman" w:hAnsi="Times New Roman" w:cs="Times New Roman"/>
          <w:color w:val="auto"/>
          <w:sz w:val="21"/>
          <w:szCs w:val="21"/>
          <w:highlight w:val="none"/>
          <w:shd w:val="clear" w:color="auto" w:fill="FFFFFF"/>
        </w:rPr>
        <w:t xml:space="preserve">'s model provided the best fit to the observed field data for estimating infiltration rate at any given time, showing a high correlation coefficient and </w:t>
      </w:r>
      <w:r>
        <w:rPr>
          <w:rFonts w:hint="default" w:ascii="Times New Roman" w:hAnsi="Times New Roman" w:cs="Times New Roman"/>
          <w:color w:val="auto"/>
          <w:sz w:val="21"/>
          <w:szCs w:val="21"/>
          <w:highlight w:val="none"/>
        </w:rPr>
        <w:t>minimum degree of standard error</w:t>
      </w:r>
      <w:r>
        <w:rPr>
          <w:rFonts w:hint="default" w:ascii="Times New Roman" w:hAnsi="Times New Roman" w:cs="Times New Roman"/>
          <w:color w:val="auto"/>
          <w:sz w:val="21"/>
          <w:szCs w:val="21"/>
          <w:highlight w:val="none"/>
          <w:shd w:val="clear" w:color="auto" w:fill="FFFFFF"/>
        </w:rPr>
        <w:t>.</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rPr>
        <w:t>SINGH</w:t>
      </w:r>
      <w:r>
        <w:rPr>
          <w:rFonts w:hint="default" w:ascii="Times New Roman" w:hAnsi="Times New Roman" w:cs="Times New Roman"/>
          <w:color w:val="auto"/>
          <w:sz w:val="21"/>
          <w:szCs w:val="21"/>
          <w:highlight w:val="none"/>
        </w:rPr>
        <w:t xml:space="preserve"> et al. </w:t>
      </w:r>
      <w:sdt>
        <w:sdtPr>
          <w:rPr>
            <w:rFonts w:hint="default" w:ascii="Times New Roman" w:hAnsi="Times New Roman" w:cs="Times New Roman"/>
            <w:color w:val="auto"/>
            <w:sz w:val="21"/>
            <w:szCs w:val="21"/>
            <w:highlight w:val="none"/>
            <w:vertAlign w:val="superscript"/>
          </w:rPr>
          <w:id w:val="96523093"/>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[21]</w:t>
          </w:r>
        </w:sdtContent>
      </w:sdt>
      <w:r>
        <w:rPr>
          <w:rFonts w:hint="default" w:ascii="Times New Roman" w:hAnsi="Times New Roman" w:cs="Times New Roman"/>
          <w:color w:val="auto"/>
          <w:sz w:val="21"/>
          <w:szCs w:val="21"/>
          <w:highlight w:val="none"/>
        </w:rPr>
        <w:t xml:space="preserve"> also compared PHILIP’s model, modified PHILIP’s model,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’s model,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model in the NIT Kurukshetra campus in India at ten different locations to predict infiltration rates and </w:t>
      </w:r>
      <w:r>
        <w:rPr>
          <w:rFonts w:hint="default" w:ascii="Times New Roman" w:hAnsi="Times New Roman" w:cs="Times New Roman"/>
          <w:color w:val="auto"/>
          <w:sz w:val="21"/>
          <w:szCs w:val="21"/>
          <w:highlight w:val="none"/>
          <w:shd w:val="clear" w:color="auto" w:fill="FFFFFF"/>
        </w:rPr>
        <w:t>discovered that the infiltration rate plotted against time did not precisely align between the field data and the predicted data; however, the Modified PHILIP's model has closely resembled the observed field data.</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rPr>
        <w:t>NAVAR</w:t>
      </w:r>
      <w:r>
        <w:rPr>
          <w:rFonts w:hint="default" w:ascii="Times New Roman" w:hAnsi="Times New Roman" w:cs="Times New Roman"/>
          <w:color w:val="auto"/>
          <w:sz w:val="21"/>
          <w:szCs w:val="21"/>
          <w:highlight w:val="none"/>
        </w:rPr>
        <w:t xml:space="preserve"> et al. </w:t>
      </w:r>
      <w:sdt>
        <w:sdtPr>
          <w:rPr>
            <w:rFonts w:hint="default" w:ascii="Times New Roman" w:hAnsi="Times New Roman" w:cs="Times New Roman"/>
            <w:color w:val="auto"/>
            <w:sz w:val="21"/>
            <w:szCs w:val="21"/>
            <w:highlight w:val="none"/>
          </w:rPr>
          <w:id w:val="45747396"/>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[22]</w:t>
          </w:r>
        </w:sdtContent>
      </w:sdt>
      <w:r>
        <w:rPr>
          <w:rFonts w:hint="default" w:ascii="Times New Roman" w:hAnsi="Times New Roman" w:cs="Times New Roman"/>
          <w:color w:val="auto"/>
          <w:sz w:val="21"/>
          <w:szCs w:val="21"/>
          <w:highlight w:val="none"/>
        </w:rPr>
        <w:t xml:space="preserve"> evaluated the infiltration rates of soils under four land uses in north-eastern Mexico. </w:t>
      </w:r>
      <w:r>
        <w:rPr>
          <w:rFonts w:hint="default" w:ascii="Times New Roman" w:hAnsi="Times New Roman" w:cs="Times New Roman"/>
          <w:color w:val="auto"/>
          <w:sz w:val="21"/>
          <w:szCs w:val="21"/>
          <w:highlight w:val="none"/>
          <w:shd w:val="clear" w:color="auto" w:fill="FFFFFF"/>
        </w:rPr>
        <w:t xml:space="preserve">Considering the infiltration models including </w:t>
      </w:r>
      <w:r>
        <w:rPr>
          <w:rFonts w:hint="default" w:ascii="Times New Roman" w:hAnsi="Times New Roman" w:cs="Times New Roman"/>
          <w:color w:val="auto"/>
          <w:sz w:val="21"/>
          <w:szCs w:val="21"/>
          <w:highlight w:val="none"/>
          <w:shd w:val="clear" w:color="auto" w:fill="FFFFFF"/>
          <w:lang w:eastAsia="zh-CN"/>
        </w:rPr>
        <w:t>HORTON</w:t>
      </w:r>
      <w:r>
        <w:rPr>
          <w:rFonts w:hint="default" w:ascii="Times New Roman" w:hAnsi="Times New Roman" w:cs="Times New Roman"/>
          <w:color w:val="auto"/>
          <w:sz w:val="21"/>
          <w:szCs w:val="21"/>
          <w:highlight w:val="none"/>
          <w:shd w:val="clear" w:color="auto" w:fill="FFFFFF"/>
        </w:rPr>
        <w:t xml:space="preserve">, PHILIP, a modified version of KOSTIAKOV’s, and </w:t>
      </w:r>
      <w:r>
        <w:rPr>
          <w:rFonts w:hint="default" w:ascii="Times New Roman" w:hAnsi="Times New Roman" w:cs="Times New Roman"/>
          <w:color w:val="auto"/>
          <w:sz w:val="21"/>
          <w:szCs w:val="21"/>
          <w:highlight w:val="none"/>
          <w:shd w:val="clear" w:color="auto" w:fill="FFFFFF"/>
          <w:lang w:eastAsia="zh-CN"/>
        </w:rPr>
        <w:t>GREEN-AMPT</w:t>
      </w:r>
      <w:r>
        <w:rPr>
          <w:rFonts w:hint="default" w:ascii="Times New Roman" w:hAnsi="Times New Roman" w:cs="Times New Roman"/>
          <w:color w:val="auto"/>
          <w:sz w:val="21"/>
          <w:szCs w:val="21"/>
          <w:highlight w:val="none"/>
          <w:shd w:val="clear" w:color="auto" w:fill="FFFFFF"/>
        </w:rPr>
        <w:t>’s, the modified KOSTIAKOV’s model provided the most accurate fit</w:t>
      </w:r>
      <w:sdt>
        <w:sdtPr>
          <w:rPr>
            <w:rFonts w:hint="default" w:ascii="Times New Roman" w:hAnsi="Times New Roman" w:cs="Times New Roman"/>
            <w:color w:val="auto"/>
            <w:sz w:val="21"/>
            <w:szCs w:val="21"/>
            <w:highlight w:val="none"/>
            <w:shd w:val="clear" w:color="auto" w:fill="FFFFFF"/>
            <w:vertAlign w:val="superscript"/>
          </w:rPr>
          <w:id w:val="806208931"/>
        </w:sdtPr>
        <w:sdtEndPr>
          <w:rPr>
            <w:rFonts w:hint="default" w:ascii="Times New Roman" w:hAnsi="Times New Roman" w:cs="Times New Roman"/>
            <w:color w:val="auto"/>
            <w:sz w:val="21"/>
            <w:szCs w:val="21"/>
            <w:highlight w:val="none"/>
            <w:shd w:val="clear" w:color="auto" w:fill="FFFFFF"/>
            <w:vertAlign w:val="superscript"/>
          </w:rPr>
        </w:sdtEndPr>
        <w:sdtContent>
          <w:r>
            <w:rPr>
              <w:rFonts w:hint="default" w:ascii="Times New Roman" w:hAnsi="Times New Roman" w:cs="Times New Roman"/>
              <w:color w:val="auto"/>
              <w:sz w:val="21"/>
              <w:szCs w:val="21"/>
              <w:highlight w:val="none"/>
              <w:shd w:val="clear" w:color="auto" w:fill="FFFFFF"/>
              <w:vertAlign w:val="superscript"/>
            </w:rPr>
            <w:t>[1]</w:t>
          </w:r>
        </w:sdtContent>
      </w:sdt>
      <w:r>
        <w:rPr>
          <w:rFonts w:hint="default" w:ascii="Times New Roman" w:hAnsi="Times New Roman" w:cs="Times New Roman"/>
          <w:color w:val="auto"/>
          <w:sz w:val="21"/>
          <w:szCs w:val="21"/>
          <w:highlight w:val="none"/>
          <w:shd w:val="clear" w:color="auto" w:fill="FFFFFF"/>
        </w:rPr>
        <w:t xml:space="preserve">. </w:t>
      </w:r>
      <w:r>
        <w:rPr>
          <w:rFonts w:hint="default" w:ascii="Times New Roman" w:hAnsi="Times New Roman" w:cs="Times New Roman"/>
          <w:color w:val="auto"/>
          <w:sz w:val="21"/>
          <w:szCs w:val="21"/>
          <w:highlight w:val="none"/>
        </w:rPr>
        <w:t>SIHAG</w:t>
      </w:r>
      <w:r>
        <w:rPr>
          <w:rFonts w:hint="default" w:ascii="Times New Roman" w:hAnsi="Times New Roman" w:cs="Times New Roman"/>
          <w:color w:val="auto"/>
          <w:sz w:val="21"/>
          <w:szCs w:val="21"/>
          <w:highlight w:val="none"/>
        </w:rPr>
        <w:t xml:space="preserve"> et al. </w:t>
      </w:r>
      <w:sdt>
        <w:sdtPr>
          <w:rPr>
            <w:rFonts w:hint="default" w:ascii="Times New Roman" w:hAnsi="Times New Roman" w:cs="Times New Roman"/>
            <w:color w:val="auto"/>
            <w:sz w:val="21"/>
            <w:szCs w:val="21"/>
            <w:highlight w:val="none"/>
            <w:vertAlign w:val="superscript"/>
          </w:rPr>
          <w:id w:val="346289285"/>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[21]</w:t>
          </w:r>
        </w:sdtContent>
      </w:sdt>
      <w:r>
        <w:rPr>
          <w:rFonts w:hint="default" w:ascii="Times New Roman" w:hAnsi="Times New Roman" w:cs="Times New Roman"/>
          <w:color w:val="auto"/>
          <w:sz w:val="21"/>
          <w:szCs w:val="21"/>
          <w:highlight w:val="none"/>
          <w:shd w:val="clear" w:color="auto" w:fill="FFFFFF"/>
        </w:rPr>
        <w:t xml:space="preserve"> assessed and compared KOSTIAKOV’s, Novel, and Modified KOSTIAKOV’s infiltration models in the Kurukshetra district of India. They found that the Novel model provided a more precise prediction of infiltration rate</w:t>
      </w:r>
      <w:r>
        <w:rPr>
          <w:rFonts w:hint="default" w:ascii="Times New Roman" w:hAnsi="Times New Roman" w:cs="Times New Roman"/>
          <w:color w:val="auto"/>
          <w:sz w:val="21"/>
          <w:szCs w:val="21"/>
          <w:highlight w:val="none"/>
          <w:shd w:val="clear" w:color="auto" w:fill="FFFFFF"/>
          <w:vertAlign w:val="superscript"/>
        </w:rPr>
        <w:t xml:space="preserve"> </w:t>
      </w:r>
      <w:sdt>
        <w:sdtPr>
          <w:rPr>
            <w:rFonts w:hint="default" w:ascii="Times New Roman" w:hAnsi="Times New Roman" w:cs="Times New Roman"/>
            <w:color w:val="auto"/>
            <w:sz w:val="21"/>
            <w:szCs w:val="21"/>
            <w:highlight w:val="none"/>
            <w:shd w:val="clear" w:color="auto" w:fill="FFFFFF"/>
            <w:vertAlign w:val="superscript"/>
          </w:rPr>
          <w:id w:val="307836460"/>
        </w:sdtPr>
        <w:sdtEndPr>
          <w:rPr>
            <w:rFonts w:hint="default" w:ascii="Times New Roman" w:hAnsi="Times New Roman" w:cs="Times New Roman"/>
            <w:color w:val="auto"/>
            <w:sz w:val="21"/>
            <w:szCs w:val="21"/>
            <w:highlight w:val="none"/>
            <w:shd w:val="clear" w:color="auto" w:fill="FFFFFF"/>
            <w:vertAlign w:val="superscript"/>
          </w:rPr>
        </w:sdtEndPr>
        <w:sdtContent>
          <w:r>
            <w:rPr>
              <w:rFonts w:hint="default" w:ascii="Times New Roman" w:hAnsi="Times New Roman" w:cs="Times New Roman"/>
              <w:color w:val="auto"/>
              <w:sz w:val="21"/>
              <w:szCs w:val="21"/>
              <w:highlight w:val="none"/>
              <w:shd w:val="clear" w:color="auto" w:fill="FFFFFF"/>
              <w:vertAlign w:val="superscript"/>
            </w:rPr>
            <w:t>[23]</w:t>
          </w:r>
        </w:sdtContent>
      </w:sdt>
      <w:r>
        <w:rPr>
          <w:rFonts w:hint="default" w:ascii="Times New Roman" w:hAnsi="Times New Roman" w:cs="Times New Roman"/>
          <w:color w:val="auto"/>
          <w:sz w:val="21"/>
          <w:szCs w:val="21"/>
          <w:highlight w:val="none"/>
          <w:shd w:val="clear" w:color="auto" w:fill="FFFFFF"/>
        </w:rPr>
        <w:t xml:space="preserve">. </w:t>
      </w:r>
    </w:p>
    <w:p w14:paraId="461B2630">
      <w:pPr>
        <w:spacing w:after="0" w:line="360" w:lineRule="auto"/>
        <w:jc w:val="both"/>
        <w:rPr>
          <w:rFonts w:hint="default" w:ascii="Times New Roman" w:hAnsi="Times New Roman" w:cs="Times New Roman"/>
          <w:color w:val="auto"/>
          <w:sz w:val="21"/>
          <w:szCs w:val="21"/>
          <w:highlight w:val="none"/>
          <w:shd w:val="clear" w:color="auto" w:fill="FFFFFF"/>
        </w:rPr>
      </w:pPr>
      <w:r>
        <w:rPr>
          <w:rFonts w:hint="default" w:ascii="Times New Roman" w:hAnsi="Times New Roman" w:cs="Times New Roman"/>
          <w:color w:val="auto"/>
          <w:sz w:val="21"/>
          <w:szCs w:val="21"/>
          <w:highlight w:val="none"/>
          <w:shd w:val="clear" w:color="auto" w:fill="FFFFFF"/>
        </w:rPr>
        <w:t xml:space="preserve">To date, there is no clear indication of which model offers the most accurate infiltration predictions under specific soil texture in Sri Lanka. Moreover, no research could be identified which was conducted for Sri Lanka using the above infiltration models. Therefore, this paper aims to assess the effectiveness of </w:t>
      </w:r>
      <w:r>
        <w:rPr>
          <w:rFonts w:hint="default" w:ascii="Times New Roman" w:hAnsi="Times New Roman" w:cs="Times New Roman"/>
          <w:color w:val="auto"/>
          <w:sz w:val="21"/>
          <w:szCs w:val="21"/>
          <w:highlight w:val="none"/>
          <w:shd w:val="clear" w:color="auto" w:fill="FFFFFF"/>
          <w:lang w:eastAsia="zh-CN"/>
        </w:rPr>
        <w:t>GREEN-AMPT</w:t>
      </w:r>
      <w:r>
        <w:rPr>
          <w:rFonts w:hint="default" w:ascii="Times New Roman" w:hAnsi="Times New Roman" w:cs="Times New Roman"/>
          <w:color w:val="auto"/>
          <w:sz w:val="21"/>
          <w:szCs w:val="21"/>
          <w:highlight w:val="none"/>
          <w:shd w:val="clear" w:color="auto" w:fill="FFFFFF"/>
        </w:rPr>
        <w:t xml:space="preserve">'s, KOSTIAKOV's, </w:t>
      </w:r>
      <w:r>
        <w:rPr>
          <w:rFonts w:hint="default" w:ascii="Times New Roman" w:hAnsi="Times New Roman" w:cs="Times New Roman"/>
          <w:color w:val="auto"/>
          <w:sz w:val="21"/>
          <w:szCs w:val="21"/>
          <w:highlight w:val="none"/>
          <w:shd w:val="clear" w:color="auto" w:fill="FFFFFF"/>
          <w:lang w:eastAsia="zh-CN"/>
        </w:rPr>
        <w:t>HORTON</w:t>
      </w:r>
      <w:r>
        <w:rPr>
          <w:rFonts w:hint="default" w:ascii="Times New Roman" w:hAnsi="Times New Roman" w:cs="Times New Roman"/>
          <w:color w:val="auto"/>
          <w:sz w:val="21"/>
          <w:szCs w:val="21"/>
          <w:highlight w:val="none"/>
          <w:shd w:val="clear" w:color="auto" w:fill="FFFFFF"/>
        </w:rPr>
        <w:t>'s, and PHILIP's models by comparing their performance across a wide range of infiltration data collected from differently textured soil types in the field using the</w:t>
      </w:r>
      <w:r>
        <w:rPr>
          <w:rFonts w:hint="default" w:ascii="Times New Roman" w:hAnsi="Times New Roman" w:cs="Times New Roman"/>
          <w:color w:val="auto"/>
          <w:sz w:val="21"/>
          <w:szCs w:val="21"/>
          <w:highlight w:val="none"/>
        </w:rPr>
        <w:t xml:space="preserve"> double-ring infiltrometer test</w:t>
      </w:r>
      <w:r>
        <w:rPr>
          <w:rFonts w:hint="default" w:ascii="Times New Roman" w:hAnsi="Times New Roman" w:cs="Times New Roman"/>
          <w:color w:val="auto"/>
          <w:sz w:val="21"/>
          <w:szCs w:val="21"/>
          <w:highlight w:val="none"/>
          <w:shd w:val="clear" w:color="auto" w:fill="FFFFFF"/>
        </w:rPr>
        <w:t xml:space="preserve">. Subsequently, this study aims to provide insights into the suitability of these models for </w:t>
      </w:r>
      <w:r>
        <w:rPr>
          <w:rFonts w:hint="default" w:ascii="Times New Roman" w:hAnsi="Times New Roman" w:cs="Times New Roman"/>
          <w:color w:val="auto"/>
          <w:sz w:val="21"/>
          <w:szCs w:val="21"/>
          <w:highlight w:val="none"/>
        </w:rPr>
        <w:t>Sri Lankan paddy soils.</w:t>
      </w:r>
    </w:p>
    <w:p w14:paraId="1A94E199">
      <w:pPr>
        <w:spacing w:after="0" w:line="360" w:lineRule="auto"/>
        <w:jc w:val="both"/>
        <w:rPr>
          <w:rFonts w:hint="default" w:ascii="Times New Roman" w:hAnsi="Times New Roman" w:cs="Times New Roman"/>
          <w:color w:val="auto"/>
          <w:sz w:val="24"/>
          <w:szCs w:val="24"/>
          <w:highlight w:val="none"/>
          <w:shd w:val="clear" w:color="auto" w:fill="FFFFFF"/>
        </w:rPr>
      </w:pPr>
    </w:p>
    <w:p w14:paraId="689D7A7B">
      <w:pPr>
        <w:spacing w:after="0" w:line="360" w:lineRule="auto"/>
        <w:ind w:left="720" w:hanging="360"/>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w:t>
      </w:r>
      <w:r>
        <w:rPr>
          <w:rFonts w:hint="default" w:ascii="Times New Roman" w:hAnsi="Times New Roman" w:cs="Times New Roman"/>
          <w:b/>
          <w:bCs/>
          <w:color w:val="auto"/>
          <w:sz w:val="24"/>
          <w:szCs w:val="24"/>
          <w:highlight w:val="none"/>
        </w:rPr>
        <w:tab/>
      </w:r>
      <w:r>
        <w:rPr>
          <w:rFonts w:hint="default" w:ascii="Times New Roman" w:hAnsi="Times New Roman" w:cs="Times New Roman"/>
          <w:b/>
          <w:bCs/>
          <w:color w:val="auto"/>
          <w:sz w:val="24"/>
          <w:szCs w:val="24"/>
          <w:highlight w:val="none"/>
        </w:rPr>
        <w:t xml:space="preserve">Materials and Methods </w:t>
      </w:r>
    </w:p>
    <w:p w14:paraId="0B62A4A0">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2.1 Study Area </w:t>
      </w:r>
    </w:p>
    <w:p w14:paraId="7C6A02EB">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The study was conducted in three distinct major irrigation schemes, namely Minipe major irrigation area (an ancient major irrigation diversion anicut), Hurulu Wewa major irrigation area (an ancient major irrigation reservoir) and Mahaweli System B (A new modern major irrigation reservoir system) as shown in </w:t>
      </w:r>
      <w:r>
        <w:rPr>
          <w:rFonts w:hint="default" w:ascii="Times New Roman" w:hAnsi="Times New Roman" w:cs="Times New Roman"/>
          <w:color w:val="auto"/>
          <w:sz w:val="21"/>
          <w:szCs w:val="21"/>
          <w:highlight w:val="none"/>
          <w:lang w:eastAsia="zh-CN"/>
        </w:rPr>
        <w:t xml:space="preserve">Fig. </w:t>
      </w:r>
      <w:r>
        <w:rPr>
          <w:rFonts w:hint="default" w:ascii="Times New Roman" w:hAnsi="Times New Roman" w:cs="Times New Roman"/>
          <w:color w:val="auto"/>
          <w:sz w:val="21"/>
          <w:szCs w:val="21"/>
          <w:highlight w:val="none"/>
        </w:rPr>
        <w:t>1 (a)-(c). The study was conducted in three Pilot Demonstration Areas (PDAs) under the Improving System Efficiencies and Water Productivity (ISEWP) Project of Mahaweli Water Security Investment Program (MWSIP) as described below.</w:t>
      </w:r>
    </w:p>
    <w:tbl>
      <w:tblPr>
        <w:tblStyle w:val="88"/>
        <w:tblW w:w="9159" w:type="dxa"/>
        <w:tblInd w:w="0" w:type="dxa"/>
        <w:tblLayout w:type="autofit"/>
        <w:tblCellMar>
          <w:top w:w="0" w:type="dxa"/>
          <w:left w:w="108" w:type="dxa"/>
          <w:bottom w:w="0" w:type="dxa"/>
          <w:right w:w="108" w:type="dxa"/>
        </w:tblCellMar>
      </w:tblPr>
      <w:tblGrid>
        <w:gridCol w:w="9159"/>
      </w:tblGrid>
      <w:tr w14:paraId="6D6324D1">
        <w:tblPrEx>
          <w:tblCellMar>
            <w:top w:w="0" w:type="dxa"/>
            <w:left w:w="108" w:type="dxa"/>
            <w:bottom w:w="0" w:type="dxa"/>
            <w:right w:w="108" w:type="dxa"/>
          </w:tblCellMar>
        </w:tblPrEx>
        <w:trPr>
          <w:trHeight w:val="6470" w:hRule="atLeast"/>
        </w:trPr>
        <w:tc>
          <w:tcPr>
            <w:tcW w:w="9159" w:type="dxa"/>
          </w:tcPr>
          <w:p w14:paraId="08CE0112">
            <w:pPr>
              <w:spacing w:after="0" w:line="360" w:lineRule="auto"/>
              <w:jc w:val="center"/>
              <w:rPr>
                <w:rFonts w:hint="default" w:ascii="Times New Roman" w:hAnsi="Times New Roman" w:cs="Times New Roman"/>
                <w:b w:val="0"/>
                <w:bCs w:val="0"/>
                <w:color w:val="auto"/>
                <w:sz w:val="15"/>
                <w:szCs w:val="15"/>
                <w:highlight w:val="none"/>
              </w:rPr>
            </w:pPr>
            <w:r>
              <w:rPr>
                <w:rFonts w:hint="default" w:ascii="Times New Roman" w:hAnsi="Times New Roman" w:cs="Times New Roman"/>
                <w:b/>
                <w:bCs/>
                <w:color w:val="auto"/>
                <w:sz w:val="15"/>
                <w:szCs w:val="15"/>
                <w:highlight w:val="none"/>
              </w:rPr>
              <w:drawing>
                <wp:inline distT="0" distB="0" distL="0" distR="0">
                  <wp:extent cx="3037205" cy="4310380"/>
                  <wp:effectExtent l="0" t="0" r="0" b="0"/>
                  <wp:docPr id="1886172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172076"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041765" cy="4316299"/>
                          </a:xfrm>
                          <a:prstGeom prst="rect">
                            <a:avLst/>
                          </a:prstGeom>
                          <a:noFill/>
                          <a:ln>
                            <a:noFill/>
                          </a:ln>
                        </pic:spPr>
                      </pic:pic>
                    </a:graphicData>
                  </a:graphic>
                </wp:inline>
              </w:drawing>
            </w:r>
          </w:p>
          <w:p w14:paraId="147526EE">
            <w:pPr>
              <w:spacing w:after="0" w:line="360" w:lineRule="auto"/>
              <w:jc w:val="center"/>
              <w:rPr>
                <w:rFonts w:hint="default" w:ascii="Times New Roman" w:hAnsi="Times New Roman" w:cs="Times New Roman"/>
                <w:b w:val="0"/>
                <w:bCs w:val="0"/>
                <w:color w:val="auto"/>
                <w:sz w:val="15"/>
                <w:szCs w:val="15"/>
                <w:highlight w:val="none"/>
              </w:rPr>
            </w:pPr>
            <w:r>
              <w:rPr>
                <w:rFonts w:hint="default" w:ascii="Times New Roman" w:hAnsi="Times New Roman" w:cs="Times New Roman"/>
                <w:b/>
                <w:bCs/>
                <w:color w:val="auto"/>
                <w:sz w:val="15"/>
                <w:szCs w:val="15"/>
                <w:highlight w:val="none"/>
              </w:rPr>
              <w:t>(a) Minipe left bank canal</w:t>
            </w:r>
          </w:p>
        </w:tc>
      </w:tr>
      <w:tr w14:paraId="30F1B3E6">
        <w:tblPrEx>
          <w:tblCellMar>
            <w:top w:w="0" w:type="dxa"/>
            <w:left w:w="108" w:type="dxa"/>
            <w:bottom w:w="0" w:type="dxa"/>
            <w:right w:w="108" w:type="dxa"/>
          </w:tblCellMar>
        </w:tblPrEx>
        <w:trPr>
          <w:trHeight w:val="90" w:hRule="atLeast"/>
        </w:trPr>
        <w:tc>
          <w:tcPr>
            <w:tcW w:w="9159" w:type="dxa"/>
            <w:shd w:val="clear" w:color="auto" w:fill="F1F1F1" w:themeFill="background1" w:themeFillShade="F2"/>
          </w:tcPr>
          <w:p w14:paraId="768A960A">
            <w:pPr>
              <w:spacing w:after="0" w:line="360" w:lineRule="auto"/>
              <w:jc w:val="center"/>
              <w:rPr>
                <w:rFonts w:hint="default" w:ascii="Times New Roman" w:hAnsi="Times New Roman" w:cs="Times New Roman"/>
                <w:b/>
                <w:bCs/>
                <w:color w:val="auto"/>
                <w:sz w:val="15"/>
                <w:szCs w:val="15"/>
                <w:highlight w:val="none"/>
              </w:rPr>
            </w:pPr>
            <w:r>
              <w:rPr>
                <w:rFonts w:hint="default" w:ascii="Times New Roman" w:hAnsi="Times New Roman" w:cs="Times New Roman"/>
                <w:b/>
                <w:bCs/>
                <w:color w:val="auto"/>
                <w:sz w:val="15"/>
                <w:szCs w:val="15"/>
                <w:highlight w:val="none"/>
              </w:rPr>
              <w:drawing>
                <wp:inline distT="0" distB="0" distL="0" distR="0">
                  <wp:extent cx="2906395" cy="4124325"/>
                  <wp:effectExtent l="0" t="0" r="8255" b="0"/>
                  <wp:docPr id="15792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3667"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924588" cy="4150026"/>
                          </a:xfrm>
                          <a:prstGeom prst="rect">
                            <a:avLst/>
                          </a:prstGeom>
                          <a:noFill/>
                          <a:ln>
                            <a:noFill/>
                          </a:ln>
                        </pic:spPr>
                      </pic:pic>
                    </a:graphicData>
                  </a:graphic>
                </wp:inline>
              </w:drawing>
            </w:r>
          </w:p>
          <w:p w14:paraId="7C10F0C5">
            <w:pPr>
              <w:spacing w:after="0" w:line="360" w:lineRule="auto"/>
              <w:jc w:val="center"/>
              <w:rPr>
                <w:rFonts w:hint="default" w:ascii="Times New Roman" w:hAnsi="Times New Roman" w:cs="Times New Roman"/>
                <w:b w:val="0"/>
                <w:bCs w:val="0"/>
                <w:color w:val="auto"/>
                <w:sz w:val="15"/>
                <w:szCs w:val="15"/>
                <w:highlight w:val="none"/>
              </w:rPr>
            </w:pPr>
            <w:r>
              <w:rPr>
                <w:rFonts w:hint="default" w:ascii="Times New Roman" w:hAnsi="Times New Roman" w:cs="Times New Roman"/>
                <w:b/>
                <w:bCs/>
                <w:color w:val="auto"/>
                <w:sz w:val="15"/>
                <w:szCs w:val="15"/>
                <w:highlight w:val="none"/>
              </w:rPr>
              <w:t>(b) Hurulu Wewa</w:t>
            </w:r>
          </w:p>
        </w:tc>
      </w:tr>
      <w:tr w14:paraId="385FAF29">
        <w:tblPrEx>
          <w:tblCellMar>
            <w:top w:w="0" w:type="dxa"/>
            <w:left w:w="108" w:type="dxa"/>
            <w:bottom w:w="0" w:type="dxa"/>
            <w:right w:w="108" w:type="dxa"/>
          </w:tblCellMar>
        </w:tblPrEx>
        <w:trPr>
          <w:trHeight w:val="6470" w:hRule="atLeast"/>
        </w:trPr>
        <w:tc>
          <w:tcPr>
            <w:tcW w:w="9159" w:type="dxa"/>
          </w:tcPr>
          <w:p w14:paraId="6126EB87">
            <w:pPr>
              <w:spacing w:after="0" w:line="360" w:lineRule="auto"/>
              <w:jc w:val="center"/>
              <w:rPr>
                <w:rFonts w:hint="default" w:ascii="Times New Roman" w:hAnsi="Times New Roman" w:cs="Times New Roman"/>
                <w:b w:val="0"/>
                <w:bCs w:val="0"/>
                <w:color w:val="auto"/>
                <w:sz w:val="15"/>
                <w:szCs w:val="15"/>
                <w:highlight w:val="none"/>
              </w:rPr>
            </w:pPr>
            <w:r>
              <w:rPr>
                <w:rFonts w:hint="default" w:ascii="Times New Roman" w:hAnsi="Times New Roman" w:cs="Times New Roman"/>
                <w:b/>
                <w:bCs/>
                <w:color w:val="auto"/>
                <w:sz w:val="15"/>
                <w:szCs w:val="15"/>
                <w:highlight w:val="none"/>
              </w:rPr>
              <w:drawing>
                <wp:inline distT="0" distB="0" distL="0" distR="0">
                  <wp:extent cx="2964180" cy="4206240"/>
                  <wp:effectExtent l="0" t="0" r="7620" b="3810"/>
                  <wp:docPr id="245516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16236"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88245" cy="4240353"/>
                          </a:xfrm>
                          <a:prstGeom prst="rect">
                            <a:avLst/>
                          </a:prstGeom>
                          <a:noFill/>
                          <a:ln>
                            <a:noFill/>
                          </a:ln>
                        </pic:spPr>
                      </pic:pic>
                    </a:graphicData>
                  </a:graphic>
                </wp:inline>
              </w:drawing>
            </w:r>
          </w:p>
          <w:p w14:paraId="68EF1E06">
            <w:pPr>
              <w:spacing w:after="0" w:line="360" w:lineRule="auto"/>
              <w:jc w:val="center"/>
              <w:rPr>
                <w:rFonts w:hint="default" w:ascii="Times New Roman" w:hAnsi="Times New Roman" w:cs="Times New Roman"/>
                <w:b w:val="0"/>
                <w:bCs w:val="0"/>
                <w:color w:val="auto"/>
                <w:sz w:val="15"/>
                <w:szCs w:val="15"/>
                <w:highlight w:val="none"/>
              </w:rPr>
            </w:pPr>
            <w:r>
              <w:rPr>
                <w:rFonts w:hint="default" w:ascii="Times New Roman" w:hAnsi="Times New Roman" w:cs="Times New Roman"/>
                <w:b/>
                <w:bCs/>
                <w:color w:val="auto"/>
                <w:sz w:val="15"/>
                <w:szCs w:val="15"/>
                <w:highlight w:val="none"/>
              </w:rPr>
              <w:t>(c) Maduru Oya PDA</w:t>
            </w:r>
          </w:p>
        </w:tc>
      </w:tr>
    </w:tbl>
    <w:p w14:paraId="36F09A02">
      <w:pPr>
        <w:spacing w:after="0" w:line="360" w:lineRule="auto"/>
        <w:contextualSpacing/>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Fig. 1  Study area</w:t>
      </w:r>
    </w:p>
    <w:p w14:paraId="66CFCD8F">
      <w:pPr>
        <w:pStyle w:val="2"/>
        <w:jc w:val="center"/>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图1 研究区域</w:t>
      </w:r>
    </w:p>
    <w:p w14:paraId="47510C0D">
      <w:pPr>
        <w:spacing w:after="0" w:line="360" w:lineRule="auto"/>
        <w:contextualSpacing/>
        <w:jc w:val="both"/>
        <w:rPr>
          <w:rFonts w:hint="default" w:ascii="Times New Roman" w:hAnsi="Times New Roman" w:cs="Times New Roman"/>
          <w:b/>
          <w:bCs/>
          <w:color w:val="auto"/>
          <w:sz w:val="24"/>
          <w:szCs w:val="24"/>
          <w:highlight w:val="none"/>
        </w:rPr>
      </w:pPr>
    </w:p>
    <w:p w14:paraId="6CE3CFFA">
      <w:pPr>
        <w:spacing w:after="0" w:line="360" w:lineRule="auto"/>
        <w:contextualSpacing/>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2.1.1 Maduru Oya PDA</w:t>
      </w:r>
    </w:p>
    <w:p w14:paraId="1A1F3588">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Part I of the present study was conducted in the command area of Mahaweli System B, Dimbulagala block, Wajira Wewa D6/104,7° 51' 59.99" N; 81° 06' 60.00" E, in the Polonnaruwa district, Sri Lanka. Maduru Oya System, also known as System B, is located in the Polonnaruwa and Batticaloa Administrative Districts of Sri Lanka with a gross land cover of 94,225 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Around 32,545 families live in this area comprising 19,254 farming households and 13,291 non-farming households with a total population of 125,184. The proposed area to be developed under System B is 40,065 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while the area developed for paddy is approximately 19,776hm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which is cultivated annually during both cultivation seasons: Yala and Maha</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[24]</w:t>
      </w:r>
      <w:r>
        <w:rPr>
          <w:rFonts w:hint="default" w:ascii="Times New Roman" w:hAnsi="Times New Roman" w:cs="Times New Roman"/>
          <w:color w:val="auto"/>
          <w:sz w:val="21"/>
          <w:szCs w:val="21"/>
          <w:highlight w:val="none"/>
        </w:rPr>
        <w:t>. The main water sources for System B are Maduru Oya Left Bank Main Canal (LBMC) and Pimburaththewa Main Canal which is augmented with Mahaweli water diversions. System B consists of 8 Irrigation Blocks which are provided with surface canals inclusive of field canals providing turnouts for each 1 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allotment. The canals selected for studies on infiltration rates were FC 67/D6/104, FC 70/D6/104 and FC63/SD1/D6/104 of Dimbulagala block. The farm lots were selected on locations at head, middle and tail areas which consist of different field and soil conditions.</w:t>
      </w:r>
    </w:p>
    <w:p w14:paraId="3A5569D0">
      <w:pPr>
        <w:spacing w:after="0" w:line="360" w:lineRule="auto"/>
        <w:jc w:val="both"/>
        <w:rPr>
          <w:rFonts w:hint="default" w:ascii="Times New Roman" w:hAnsi="Times New Roman" w:cs="Times New Roman"/>
          <w:color w:val="auto"/>
          <w:sz w:val="24"/>
          <w:szCs w:val="24"/>
          <w:highlight w:val="none"/>
        </w:rPr>
      </w:pPr>
    </w:p>
    <w:p w14:paraId="3604DC3D">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2.1.2 Hurulu Wewa</w:t>
      </w:r>
    </w:p>
    <w:p w14:paraId="55F0023A">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Part II of the present study was conducted in the command area of Hurulu Wewa Irrigation System LB Canal D3, 8° 13’ 0” N”; 80° 43’ 0” E “, which is located in Galenbinduna Wewa Divisional Secretary Division in the Anuradhapura District, of North Central Province of Sri Lanka. The active storage capacity of Hurulu Wewa reservoir is 65.4 MCM (Million Cubic Meters) and the total designed irrigable service area is 4,209 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vertAlign w:val="superscript"/>
        </w:rPr>
        <w:t>[25-26]</w:t>
      </w:r>
      <w:r>
        <w:rPr>
          <w:rFonts w:hint="default" w:ascii="Times New Roman" w:hAnsi="Times New Roman" w:cs="Times New Roman"/>
          <w:color w:val="auto"/>
          <w:sz w:val="21"/>
          <w:szCs w:val="21"/>
          <w:highlight w:val="none"/>
        </w:rPr>
        <w:t>.</w:t>
      </w:r>
    </w:p>
    <w:p w14:paraId="513BC458">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The Left Bank Main Canal consists of 9 distributary canals and 21 field canals while Right Bank Main Canal consists of 2 branch canals, 8 distributary canals, and 25 field canals. Infiltration studies were conducted in three locations along D3/LB to represent the head, middle, and tail end of the canal, namely, FC 1/D3, FC4/D3, and FC7/D3.</w:t>
      </w:r>
    </w:p>
    <w:p w14:paraId="7CE84FCA">
      <w:pPr>
        <w:spacing w:after="0" w:line="360" w:lineRule="auto"/>
        <w:jc w:val="both"/>
        <w:rPr>
          <w:rFonts w:hint="default" w:ascii="Times New Roman" w:hAnsi="Times New Roman" w:cs="Times New Roman"/>
          <w:color w:val="auto"/>
          <w:sz w:val="24"/>
          <w:szCs w:val="24"/>
          <w:highlight w:val="none"/>
        </w:rPr>
      </w:pPr>
    </w:p>
    <w:p w14:paraId="68432D4F">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2.1.3 Minipe Left Bank Canal </w:t>
      </w:r>
    </w:p>
    <w:p w14:paraId="2786A9E8">
      <w:pPr>
        <w:spacing w:after="0" w:line="360" w:lineRule="auto"/>
        <w:jc w:val="both"/>
        <w:rPr>
          <w:rFonts w:hint="default" w:ascii="Times New Roman" w:hAnsi="Times New Roman" w:cs="Times New Roman"/>
          <w:color w:val="auto"/>
          <w:sz w:val="21"/>
          <w:szCs w:val="21"/>
          <w:highlight w:val="none"/>
          <w:shd w:val="clear" w:color="auto" w:fill="FFFFFF"/>
        </w:rPr>
      </w:pPr>
      <w:r>
        <w:rPr>
          <w:rFonts w:hint="default" w:ascii="Times New Roman" w:hAnsi="Times New Roman" w:cs="Times New Roman"/>
          <w:color w:val="auto"/>
          <w:sz w:val="21"/>
          <w:szCs w:val="21"/>
          <w:highlight w:val="none"/>
        </w:rPr>
        <w:t xml:space="preserve">Part III of the present study was conducted in the command area of Minipe Irrigation System - LB Canal D 47 in Stage III 7° 32’ 12.794” N; 80° 54’ 46.797” E, belonging to Matale district, Sri Lanka. The study area is located in the Hettipola Divisional Secretariat of the Matale District of Central Province </w:t>
      </w:r>
      <w:r>
        <w:rPr>
          <w:rFonts w:hint="default" w:ascii="Times New Roman" w:hAnsi="Times New Roman" w:cs="Times New Roman"/>
          <w:color w:val="auto"/>
          <w:sz w:val="21"/>
          <w:szCs w:val="21"/>
          <w:highlight w:val="none"/>
          <w:vertAlign w:val="superscript"/>
        </w:rPr>
        <w:t>[27]</w:t>
      </w:r>
      <w:r>
        <w:rPr>
          <w:rFonts w:hint="default" w:ascii="Times New Roman" w:hAnsi="Times New Roman" w:cs="Times New Roman"/>
          <w:color w:val="auto"/>
          <w:sz w:val="21"/>
          <w:szCs w:val="21"/>
          <w:highlight w:val="none"/>
        </w:rPr>
        <w:t xml:space="preserve">. The infiltration studies were conducted in FC1/D47, FC1/D47/LB and Mailapitiya canals at different time intervals to determine the infiltration rates. As same as the above two areas, </w:t>
      </w:r>
      <w:r>
        <w:rPr>
          <w:rFonts w:hint="default" w:ascii="Times New Roman" w:hAnsi="Times New Roman" w:cs="Times New Roman"/>
          <w:color w:val="auto"/>
          <w:sz w:val="21"/>
          <w:szCs w:val="21"/>
          <w:highlight w:val="none"/>
          <w:shd w:val="clear" w:color="auto" w:fill="FFFFFF"/>
        </w:rPr>
        <w:t xml:space="preserve">head, middle, and tail sections were selected to capture the variations in field and soil conditions. </w:t>
      </w:r>
    </w:p>
    <w:p w14:paraId="7430F5A1">
      <w:pPr>
        <w:spacing w:after="0" w:line="360" w:lineRule="auto"/>
        <w:jc w:val="both"/>
        <w:rPr>
          <w:rFonts w:hint="default" w:ascii="Times New Roman" w:hAnsi="Times New Roman" w:cs="Times New Roman"/>
          <w:color w:val="auto"/>
          <w:sz w:val="24"/>
          <w:szCs w:val="24"/>
          <w:highlight w:val="none"/>
        </w:rPr>
      </w:pPr>
    </w:p>
    <w:p w14:paraId="253C6F0C">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2.2 Data Collection </w:t>
      </w:r>
    </w:p>
    <w:p w14:paraId="09FA25D6">
      <w:pPr>
        <w:spacing w:after="0" w:line="360" w:lineRule="auto"/>
        <w:jc w:val="both"/>
        <w:rPr>
          <w:rFonts w:hint="default" w:ascii="Times New Roman" w:hAnsi="Times New Roman" w:cs="Times New Roman"/>
          <w:color w:val="auto"/>
          <w:sz w:val="21"/>
          <w:szCs w:val="21"/>
          <w:highlight w:val="none"/>
        </w:rPr>
      </w:pPr>
      <w:bookmarkStart w:id="2" w:name="_Hlk217992326"/>
      <w:r>
        <w:rPr>
          <w:rFonts w:hint="default" w:ascii="Times New Roman" w:hAnsi="Times New Roman" w:cs="Times New Roman"/>
          <w:color w:val="auto"/>
          <w:sz w:val="21"/>
          <w:szCs w:val="21"/>
          <w:highlight w:val="none"/>
        </w:rPr>
        <w:t>In this study, infiltration was measured at 61 farm-lot points nested within 23 canal reaches, designated head, middle and tail, of eight field canals distributed across the three irrigation schemes (Fig. 1(a</w:t>
      </w:r>
      <w:r>
        <w:rPr>
          <w:rFonts w:hint="default" w:ascii="Times New Roman" w:hAnsi="Times New Roman" w:cs="Times New Roman"/>
          <w:color w:val="auto"/>
          <w:sz w:val="21"/>
          <w:szCs w:val="21"/>
          <w:highlight w:val="none"/>
          <w:lang w:val="en-US"/>
        </w:rPr>
        <w:t>)</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c)), which ensured adequate spatial coverage of each command area. Two to three farm-lot points were measured within each canal reach, and the reach-averaged infiltration curve was used for model fitting, giving 23 curves for the comparative model evaluation. Field inspections were conducted to select suitable canals for study, to assess field conditions and determine the equipment required to measure infiltration depths and identify suitable locations, and to analyse the impacts of waterlogging in the study area. All measurements were taken during the land preparation stage of the Maha season, which is considered the standard operational period for assessing infiltration in Sri Lankan paddy systems. The tests were conducted at different intervals: in September 2021 for the Minipe canal, in September and October 2021 for the Maduru Oya PDA, and in February 2022 for Hurulu Wewa. Although the field testing at Hurulu Wewa was postponed due to delays in water release for the Maha season, caused by the non-availability of fertilizer, measurements were taken under hydrologically comparable conditions. Accordingly, tests were done only in a few selected paddy fields under the canals of PDAs. During data acquisition, factors such as high flow turbidity, irregular channel sections, sedimentation, and vegetation affecting paddy growth affected the results for some paddy fields in the infiltration depth measurements. As a result, some points at the head, middle, and tail of these canals were omitted, and locations free of obstacles during depth measurements were used in the analysis; of the 27 canal reaches originally planned (three reaches in each of three field canals in each of three schemes), 23 yielded complete infiltration curves suitable for model fitting.</w:t>
      </w:r>
      <w:bookmarkEnd w:id="2"/>
      <w:bookmarkStart w:id="3" w:name="_Hlk217991013"/>
      <w:bookmarkEnd w:id="3"/>
      <w:bookmarkStart w:id="4" w:name="_Hlk226782110"/>
      <w:bookmarkEnd w:id="4"/>
    </w:p>
    <w:p w14:paraId="5C8A310C">
      <w:pPr>
        <w:spacing w:after="0" w:line="360" w:lineRule="auto"/>
        <w:jc w:val="both"/>
        <w:rPr>
          <w:rFonts w:hint="default" w:ascii="Times New Roman" w:hAnsi="Times New Roman" w:cs="Times New Roman"/>
          <w:color w:val="auto"/>
          <w:sz w:val="24"/>
          <w:szCs w:val="24"/>
          <w:highlight w:val="none"/>
        </w:rPr>
      </w:pPr>
    </w:p>
    <w:p w14:paraId="5B2DEC63">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2.2.1 Identification of on-site locations</w:t>
      </w:r>
    </w:p>
    <w:p w14:paraId="22A10DF5">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On-site coordinates of watercourses and reference points were collected using the Global Positioning System (GPS). Subsequently, the collected coordinates were validated through Google Earth Pro Software (https://www.google.com/earth/). Finally, the validated images were converted into digital data and the spatial distribution was mapped using ArcGIS software.</w:t>
      </w:r>
    </w:p>
    <w:p w14:paraId="17A13E4F">
      <w:pPr>
        <w:spacing w:after="0" w:line="360" w:lineRule="auto"/>
        <w:jc w:val="both"/>
        <w:rPr>
          <w:rFonts w:hint="default" w:ascii="Times New Roman" w:hAnsi="Times New Roman" w:cs="Times New Roman"/>
          <w:color w:val="auto"/>
          <w:sz w:val="24"/>
          <w:szCs w:val="24"/>
          <w:highlight w:val="none"/>
        </w:rPr>
      </w:pPr>
    </w:p>
    <w:p w14:paraId="70C84C4E">
      <w:pPr>
        <w:spacing w:after="0" w:line="360" w:lineRule="auto"/>
        <w:jc w:val="both"/>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2.2.2 Classification of soil</w:t>
      </w:r>
    </w:p>
    <w:p w14:paraId="55DBFA55">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Because there were no high-resolution soil maps at the pilot level, the soil survey was conducted manually. </w:t>
      </w:r>
      <w:bookmarkStart w:id="5" w:name="_Hlk217807476"/>
      <w:r>
        <w:rPr>
          <w:rFonts w:hint="default" w:ascii="Times New Roman" w:hAnsi="Times New Roman" w:cs="Times New Roman"/>
          <w:color w:val="auto"/>
          <w:sz w:val="21"/>
          <w:szCs w:val="21"/>
          <w:highlight w:val="none"/>
        </w:rPr>
        <w:t xml:space="preserve">A stratified field-based sampling approach was adopted rather than random sampling. Sampling locations were selected to represent the top, middle, and bottom reaches of each canal system, thereby capturing spatial variability in hydraulic loading, sediment deposition, and water residence time within each irrigation command area. </w:t>
      </w:r>
      <w:r>
        <w:rPr>
          <w:rFonts w:hint="default" w:ascii="Times New Roman" w:hAnsi="Times New Roman" w:cs="Times New Roman"/>
          <w:color w:val="auto"/>
          <w:sz w:val="21"/>
          <w:szCs w:val="21"/>
          <w:highlight w:val="none"/>
        </w:rPr>
        <w:t>Soil</w:t>
      </w:r>
      <w:r>
        <w:rPr>
          <w:rFonts w:hint="default" w:ascii="Times New Roman" w:hAnsi="Times New Roman" w:cs="Times New Roman"/>
          <w:color w:val="auto"/>
          <w:sz w:val="21"/>
          <w:szCs w:val="21"/>
          <w:highlight w:val="none"/>
        </w:rPr>
        <w:t xml:space="preserve"> sampling was conducted using Dutch soil augers</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[28]</w:t>
      </w:r>
      <w:r>
        <w:rPr>
          <w:rFonts w:hint="default" w:ascii="Times New Roman" w:hAnsi="Times New Roman" w:cs="Times New Roman"/>
          <w:color w:val="auto"/>
          <w:sz w:val="21"/>
          <w:szCs w:val="21"/>
          <w:highlight w:val="none"/>
        </w:rPr>
        <w:t xml:space="preserve">, and in situ soils were classified according to the textural characteristics shown in the USDA soil texture triangle </w:t>
      </w:r>
      <w:sdt>
        <w:sdtPr>
          <w:rPr>
            <w:rFonts w:hint="default" w:ascii="Times New Roman" w:hAnsi="Times New Roman" w:cs="Times New Roman"/>
            <w:color w:val="auto"/>
            <w:sz w:val="21"/>
            <w:szCs w:val="21"/>
            <w:highlight w:val="none"/>
          </w:rPr>
          <w:id w:val="896784482"/>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[24]</w:t>
          </w:r>
        </w:sdtContent>
      </w:sdt>
      <w:bookmarkEnd w:id="5"/>
      <w:r>
        <w:rPr>
          <w:rFonts w:hint="default" w:ascii="Times New Roman" w:hAnsi="Times New Roman" w:cs="Times New Roman"/>
          <w:color w:val="auto"/>
          <w:sz w:val="21"/>
          <w:szCs w:val="21"/>
          <w:highlight w:val="none"/>
        </w:rPr>
        <w:t xml:space="preserve">. Textural classes were therefore assigned by field augering and tactile assessment rather than by laboratory particle-size analysis, and the compound descriptors used in Table 3 (clayey gravel, gravelly clay, clayey sand, gravelly sand) denote profiles in which a gravel or sand fraction was present in addition to the dominant textural class; they are field descriptors rather than formal USDA textural classes. Subsequently, the sampling locations were geotagged. This soil survey was conducted immediately after harvesting, when the fields were free of weeds, and the soil was in a suitable semi-dry state for augering. </w:t>
      </w:r>
    </w:p>
    <w:p w14:paraId="1A3FE725">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2.2.3 Measuring infiltration</w:t>
      </w:r>
    </w:p>
    <w:p w14:paraId="78C59E7E">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As a crucial parameter for understanding water movement within soil profiles, infiltration rates were assessed</w:t>
      </w:r>
      <w:r>
        <w:rPr>
          <w:rFonts w:hint="default" w:ascii="Times New Roman" w:hAnsi="Times New Roman" w:cs="Times New Roman"/>
          <w:color w:val="auto"/>
          <w:sz w:val="21"/>
          <w:szCs w:val="21"/>
          <w:highlight w:val="none"/>
          <w:shd w:val="clear" w:color="auto" w:fill="FFFFFF"/>
        </w:rPr>
        <w:t>. The infiltration rate is influenced by various factors such as pore size distribution, soil texture, and structure</w:t>
      </w:r>
      <w:r>
        <w:rPr>
          <w:rFonts w:hint="default" w:ascii="Times New Roman" w:hAnsi="Times New Roman" w:cs="Times New Roman"/>
          <w:color w:val="auto"/>
          <w:sz w:val="21"/>
          <w:szCs w:val="21"/>
          <w:highlight w:val="none"/>
          <w:shd w:val="clear" w:color="auto" w:fill="FFFFFF"/>
          <w:vertAlign w:val="superscript"/>
        </w:rPr>
        <w:t xml:space="preserve"> </w:t>
      </w:r>
      <w:sdt>
        <w:sdtPr>
          <w:rPr>
            <w:rFonts w:hint="default" w:ascii="Times New Roman" w:hAnsi="Times New Roman" w:cs="Times New Roman"/>
            <w:color w:val="auto"/>
            <w:sz w:val="21"/>
            <w:szCs w:val="21"/>
            <w:highlight w:val="none"/>
            <w:shd w:val="clear" w:color="auto" w:fill="FFFFFF"/>
            <w:vertAlign w:val="superscript"/>
          </w:rPr>
          <w:id w:val="581077719"/>
        </w:sdtPr>
        <w:sdtEndPr>
          <w:rPr>
            <w:rFonts w:hint="default" w:ascii="Times New Roman" w:hAnsi="Times New Roman" w:cs="Times New Roman"/>
            <w:color w:val="auto"/>
            <w:sz w:val="21"/>
            <w:szCs w:val="21"/>
            <w:highlight w:val="none"/>
            <w:shd w:val="clear" w:color="auto" w:fill="FFFFFF"/>
            <w:vertAlign w:val="superscript"/>
          </w:rPr>
        </w:sdtEndPr>
        <w:sdtContent>
          <w:r>
            <w:rPr>
              <w:rFonts w:hint="default" w:ascii="Times New Roman" w:hAnsi="Times New Roman" w:cs="Times New Roman"/>
              <w:color w:val="auto"/>
              <w:sz w:val="21"/>
              <w:szCs w:val="21"/>
              <w:highlight w:val="none"/>
              <w:shd w:val="clear" w:color="auto" w:fill="FFFFFF"/>
              <w:vertAlign w:val="superscript"/>
            </w:rPr>
            <w:t>[5]</w:t>
          </w:r>
        </w:sdtContent>
      </w:sdt>
      <w:r>
        <w:rPr>
          <w:rFonts w:hint="default" w:ascii="Times New Roman" w:hAnsi="Times New Roman" w:cs="Times New Roman"/>
          <w:color w:val="auto"/>
          <w:sz w:val="21"/>
          <w:szCs w:val="21"/>
          <w:highlight w:val="none"/>
          <w:shd w:val="clear" w:color="auto" w:fill="FFFFFF"/>
        </w:rPr>
        <w:t xml:space="preserve">. These factors affect the water movement through the soil. </w:t>
      </w:r>
      <w:r>
        <w:rPr>
          <w:rFonts w:hint="default" w:ascii="Times New Roman" w:hAnsi="Times New Roman" w:cs="Times New Roman"/>
          <w:color w:val="auto"/>
          <w:sz w:val="21"/>
          <w:szCs w:val="21"/>
          <w:highlight w:val="none"/>
        </w:rPr>
        <w:t xml:space="preserve">The double-ring infiltrometer test </w:t>
      </w:r>
      <w:r>
        <w:rPr>
          <w:rFonts w:hint="default" w:ascii="Times New Roman" w:hAnsi="Times New Roman" w:cs="Times New Roman"/>
          <w:color w:val="auto"/>
          <w:sz w:val="21"/>
          <w:szCs w:val="21"/>
          <w:highlight w:val="none"/>
          <w:vertAlign w:val="superscript"/>
        </w:rPr>
        <w:t>[29]</w:t>
      </w:r>
      <w:r>
        <w:rPr>
          <w:rFonts w:hint="default" w:ascii="Times New Roman" w:hAnsi="Times New Roman" w:cs="Times New Roman"/>
          <w:color w:val="auto"/>
          <w:sz w:val="21"/>
          <w:szCs w:val="21"/>
          <w:highlight w:val="none"/>
        </w:rPr>
        <w:t xml:space="preserve"> was used to determine the infiltration rates. A double-ring infiltrometer test was conducted using PVC pipes fabricated according to standard dimensions</w:t>
      </w:r>
      <w:r>
        <w:rPr>
          <w:rFonts w:hint="default" w:ascii="Times New Roman" w:hAnsi="Times New Roman" w:eastAsia="Times New Roman" w:cs="Times New Roman"/>
          <w:color w:val="auto"/>
          <w:sz w:val="21"/>
          <w:szCs w:val="21"/>
          <w:highlight w:val="none"/>
        </w:rPr>
        <w:t xml:space="preserve">, using two PVC </w:t>
      </w:r>
      <w:r>
        <w:rPr>
          <w:rFonts w:hint="default" w:ascii="Times New Roman" w:hAnsi="Times New Roman" w:cs="Times New Roman"/>
          <w:color w:val="auto"/>
          <w:sz w:val="21"/>
          <w:szCs w:val="21"/>
          <w:highlight w:val="none"/>
        </w:rPr>
        <w:t xml:space="preserve">(Polyvinyl chloride) </w:t>
      </w:r>
      <w:r>
        <w:rPr>
          <w:rFonts w:hint="default" w:ascii="Times New Roman" w:hAnsi="Times New Roman" w:eastAsia="Times New Roman" w:cs="Times New Roman"/>
          <w:color w:val="auto"/>
          <w:sz w:val="21"/>
          <w:szCs w:val="21"/>
          <w:highlight w:val="none"/>
        </w:rPr>
        <w:t>pipes of 0.3 meters and 0.15 meters in diameter, each approximately 0.5 meters in length. The scales were marked on both tubes. First,</w:t>
      </w:r>
      <w:r>
        <w:rPr>
          <w:rFonts w:hint="default" w:ascii="Times New Roman" w:hAnsi="Times New Roman" w:cs="Times New Roman"/>
          <w:color w:val="auto"/>
          <w:sz w:val="21"/>
          <w:szCs w:val="21"/>
          <w:highlight w:val="none"/>
        </w:rPr>
        <w:t xml:space="preserve"> the </w:t>
      </w:r>
      <w:r>
        <w:rPr>
          <w:rFonts w:hint="default" w:ascii="Times New Roman" w:hAnsi="Times New Roman" w:eastAsia="Times New Roman" w:cs="Times New Roman"/>
          <w:color w:val="auto"/>
          <w:sz w:val="21"/>
          <w:szCs w:val="21"/>
          <w:highlight w:val="none"/>
        </w:rPr>
        <w:t xml:space="preserve">0.3-meter </w:t>
      </w:r>
      <w:r>
        <w:rPr>
          <w:rFonts w:hint="default" w:ascii="Times New Roman" w:hAnsi="Times New Roman" w:cs="Times New Roman"/>
          <w:color w:val="auto"/>
          <w:sz w:val="21"/>
          <w:szCs w:val="21"/>
          <w:highlight w:val="none"/>
        </w:rPr>
        <w:t xml:space="preserve">diameter PVC pipe was hammered vertically into the ground and leveled using a spirit level (refer to </w:t>
      </w:r>
      <w:r>
        <w:rPr>
          <w:rFonts w:hint="default" w:ascii="Times New Roman" w:hAnsi="Times New Roman" w:cs="Times New Roman"/>
          <w:color w:val="auto"/>
          <w:sz w:val="21"/>
          <w:szCs w:val="21"/>
          <w:highlight w:val="none"/>
          <w:lang w:eastAsia="zh-CN"/>
        </w:rPr>
        <w:t xml:space="preserve">Fig. </w:t>
      </w:r>
      <w:r>
        <w:rPr>
          <w:rFonts w:hint="default" w:ascii="Times New Roman" w:hAnsi="Times New Roman" w:cs="Times New Roman"/>
          <w:color w:val="auto"/>
          <w:sz w:val="21"/>
          <w:szCs w:val="21"/>
          <w:highlight w:val="none"/>
        </w:rPr>
        <w:t>2</w:t>
      </w:r>
      <w:r>
        <w:rPr>
          <w:rFonts w:hint="default" w:ascii="Times New Roman" w:hAnsi="Times New Roman" w:cs="Times New Roman"/>
          <w:color w:val="auto"/>
          <w:sz w:val="21"/>
          <w:szCs w:val="21"/>
          <w:highlight w:val="none"/>
          <w:lang w:val="en-US"/>
        </w:rPr>
        <w:t>(</w:t>
      </w:r>
      <w:r>
        <w:rPr>
          <w:rFonts w:hint="default" w:ascii="Times New Roman" w:hAnsi="Times New Roman" w:cs="Times New Roman"/>
          <w:color w:val="auto"/>
          <w:sz w:val="21"/>
          <w:szCs w:val="21"/>
          <w:highlight w:val="none"/>
        </w:rPr>
        <w:t>a</w:t>
      </w:r>
      <w:r>
        <w:rPr>
          <w:rFonts w:hint="default" w:ascii="Times New Roman" w:hAnsi="Times New Roman" w:cs="Times New Roman"/>
          <w:color w:val="auto"/>
          <w:sz w:val="21"/>
          <w:szCs w:val="21"/>
          <w:highlight w:val="none"/>
          <w:lang w:val="en-US"/>
        </w:rPr>
        <w:t>)</w:t>
      </w:r>
      <w:r>
        <w:rPr>
          <w:rFonts w:hint="default" w:ascii="Times New Roman" w:hAnsi="Times New Roman" w:cs="Times New Roman"/>
          <w:color w:val="auto"/>
          <w:sz w:val="21"/>
          <w:szCs w:val="21"/>
          <w:highlight w:val="none"/>
        </w:rPr>
        <w:t xml:space="preserve">). </w:t>
      </w:r>
      <w:r>
        <w:rPr>
          <w:rFonts w:hint="default" w:ascii="Times New Roman" w:hAnsi="Times New Roman" w:eastAsia="Times New Roman" w:cs="Times New Roman"/>
          <w:color w:val="auto"/>
          <w:sz w:val="21"/>
          <w:szCs w:val="21"/>
          <w:highlight w:val="none"/>
        </w:rPr>
        <w:t>Then, the 0.15-meter diameter PVC pipe was placed centrally within the 0.3-meter diameter pipe and hammered similarly (around 0.1 meter into the soil layer). After that, water was filled into the space between the inner and outer rings. The water within the space between the two pipes prevented lateral water movement from the inner ring. Further, the water level was maintained at the same depth inside and outside the rings. The initial water level of the inner ring was recorded, and subsequent measurements were taken at regular intervals and the test continued until the water level drop remained consistent over equal time intervals</w:t>
      </w:r>
      <w:r>
        <w:rPr>
          <w:rFonts w:hint="default" w:ascii="Times New Roman" w:hAnsi="Times New Roman" w:cs="Times New Roman"/>
          <w:color w:val="auto"/>
          <w:sz w:val="21"/>
          <w:szCs w:val="21"/>
          <w:highlight w:val="none"/>
        </w:rPr>
        <w:t xml:space="preserve">. Paddy fields under the three canals were selected considering the upper, intermediate, and lower points of the field, whereas the head, middle, and tail were considered in each field to ensure that these selections covered the whole PDA (refer to </w:t>
      </w:r>
      <w:r>
        <w:rPr>
          <w:rFonts w:hint="default" w:ascii="Times New Roman" w:hAnsi="Times New Roman" w:cs="Times New Roman"/>
          <w:color w:val="auto"/>
          <w:sz w:val="21"/>
          <w:szCs w:val="21"/>
          <w:highlight w:val="none"/>
          <w:lang w:eastAsia="zh-CN"/>
        </w:rPr>
        <w:t xml:space="preserve">Fig. </w:t>
      </w:r>
      <w:r>
        <w:rPr>
          <w:rFonts w:hint="default" w:ascii="Times New Roman" w:hAnsi="Times New Roman" w:cs="Times New Roman"/>
          <w:color w:val="auto"/>
          <w:sz w:val="21"/>
          <w:szCs w:val="21"/>
          <w:highlight w:val="none"/>
        </w:rPr>
        <w:t>2</w:t>
      </w:r>
      <w:r>
        <w:rPr>
          <w:rFonts w:hint="default" w:ascii="Times New Roman" w:hAnsi="Times New Roman" w:cs="Times New Roman"/>
          <w:color w:val="auto"/>
          <w:sz w:val="21"/>
          <w:szCs w:val="21"/>
          <w:highlight w:val="none"/>
          <w:lang w:val="en-US"/>
        </w:rPr>
        <w:t>(</w:t>
      </w:r>
      <w:r>
        <w:rPr>
          <w:rFonts w:hint="default" w:ascii="Times New Roman" w:hAnsi="Times New Roman" w:cs="Times New Roman"/>
          <w:color w:val="auto"/>
          <w:sz w:val="21"/>
          <w:szCs w:val="21"/>
          <w:highlight w:val="none"/>
        </w:rPr>
        <w:t>b</w:t>
      </w:r>
      <w:r>
        <w:rPr>
          <w:rFonts w:hint="default" w:ascii="Times New Roman" w:hAnsi="Times New Roman" w:cs="Times New Roman"/>
          <w:color w:val="auto"/>
          <w:sz w:val="21"/>
          <w:szCs w:val="21"/>
          <w:highlight w:val="none"/>
          <w:lang w:val="en-US"/>
        </w:rPr>
        <w:t>)</w:t>
      </w:r>
      <w:r>
        <w:rPr>
          <w:rFonts w:hint="default" w:ascii="Times New Roman" w:hAnsi="Times New Roman" w:cs="Times New Roman"/>
          <w:color w:val="auto"/>
          <w:sz w:val="21"/>
          <w:szCs w:val="21"/>
          <w:highlight w:val="none"/>
        </w:rPr>
        <w:t xml:space="preserve">) and to obtain more accurate results. In total, 61 infiltration tests were carried out at different time intervals covering all three schemes selected. </w:t>
      </w:r>
      <w:bookmarkStart w:id="6" w:name="_Hlk226876959"/>
      <w:r>
        <w:rPr>
          <w:rFonts w:hint="default" w:ascii="Times New Roman" w:hAnsi="Times New Roman" w:cs="Times New Roman"/>
          <w:color w:val="auto"/>
          <w:sz w:val="21"/>
          <w:szCs w:val="21"/>
          <w:highlight w:val="none"/>
        </w:rPr>
        <w:t xml:space="preserve">Measurements were continued until a near steady-state infiltration condition was reached. Water level reductions were recorded at 30-minute intervals for up to 120 minutes, with greater attention paid during the initial stage as infiltration rates changed more rapidly. Due to field-scale constraints, repeat measurements at the same point were limited; however, consistency in infiltration trends and stable readings across the 61 sampling points ensured the reliability of the dataset. </w:t>
      </w:r>
      <w:bookmarkEnd w:id="6"/>
      <w:r>
        <w:rPr>
          <w:rFonts w:hint="default" w:ascii="Times New Roman" w:hAnsi="Times New Roman" w:cs="Times New Roman"/>
          <w:color w:val="auto"/>
          <w:sz w:val="21"/>
          <w:szCs w:val="21"/>
          <w:highlight w:val="none"/>
        </w:rPr>
        <w:t>Evaporation losses were not separately considered during infiltration measurements because the experiments were conducted under uniformly saturated paddy-field conditions, with continuous impoundment during land preparation. Under such conditions, evaporation effects within the infiltration rings and surrounding plots are assumed to be spatially uniform and therefore do not bias relative infiltration estimates. Measurements were of short duration and aimed at capturing in situ infiltration behaviour under saturated conditions rather than at absolute water-balance components.</w:t>
      </w: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8"/>
        <w:gridCol w:w="4508"/>
      </w:tblGrid>
      <w:tr w14:paraId="747AB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08" w:type="dxa"/>
          </w:tcPr>
          <w:p w14:paraId="2624DF84">
            <w:pPr>
              <w:spacing w:after="0" w:line="360" w:lineRule="auto"/>
              <w:jc w:val="cente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drawing>
                <wp:inline distT="0" distB="0" distL="0" distR="0">
                  <wp:extent cx="2699385" cy="3580765"/>
                  <wp:effectExtent l="0" t="0" r="5715" b="635"/>
                  <wp:docPr id="486407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07892" name="Picture 1"/>
                          <pic:cNvPicPr>
                            <a:picLocks noChangeAspect="1"/>
                          </pic:cNvPicPr>
                        </pic:nvPicPr>
                        <pic:blipFill>
                          <a:blip r:embed="rId10"/>
                          <a:stretch>
                            <a:fillRect/>
                          </a:stretch>
                        </pic:blipFill>
                        <pic:spPr>
                          <a:xfrm>
                            <a:off x="0" y="0"/>
                            <a:ext cx="2700000" cy="3580852"/>
                          </a:xfrm>
                          <a:prstGeom prst="rect">
                            <a:avLst/>
                          </a:prstGeom>
                        </pic:spPr>
                      </pic:pic>
                    </a:graphicData>
                  </a:graphic>
                </wp:inline>
              </w:drawing>
            </w:r>
          </w:p>
          <w:p w14:paraId="4C918CD7">
            <w:pPr>
              <w:spacing w:after="0" w:line="360" w:lineRule="auto"/>
              <w:jc w:val="cente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(a) Hammering PVC pipes into the ground</w:t>
            </w:r>
          </w:p>
        </w:tc>
        <w:tc>
          <w:tcPr>
            <w:tcW w:w="4508" w:type="dxa"/>
          </w:tcPr>
          <w:p w14:paraId="55ED062F">
            <w:pPr>
              <w:spacing w:after="0" w:line="360" w:lineRule="auto"/>
              <w:jc w:val="cente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drawing>
                <wp:inline distT="0" distB="0" distL="0" distR="0">
                  <wp:extent cx="2699385" cy="3552190"/>
                  <wp:effectExtent l="0" t="0" r="5715" b="0"/>
                  <wp:docPr id="210471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13720" name="Picture 1"/>
                          <pic:cNvPicPr>
                            <a:picLocks noChangeAspect="1"/>
                          </pic:cNvPicPr>
                        </pic:nvPicPr>
                        <pic:blipFill>
                          <a:blip r:embed="rId11"/>
                          <a:stretch>
                            <a:fillRect/>
                          </a:stretch>
                        </pic:blipFill>
                        <pic:spPr>
                          <a:xfrm>
                            <a:off x="0" y="0"/>
                            <a:ext cx="2703189" cy="3557283"/>
                          </a:xfrm>
                          <a:prstGeom prst="rect">
                            <a:avLst/>
                          </a:prstGeom>
                        </pic:spPr>
                      </pic:pic>
                    </a:graphicData>
                  </a:graphic>
                </wp:inline>
              </w:drawing>
            </w:r>
          </w:p>
          <w:p w14:paraId="3514A7EB">
            <w:pPr>
              <w:spacing w:after="0" w:line="360" w:lineRule="auto"/>
              <w:jc w:val="center"/>
              <w:rPr>
                <w:rFonts w:hint="default" w:ascii="Times New Roman" w:hAnsi="Times New Roman" w:cs="Times New Roman"/>
                <w:b/>
                <w:bCs/>
                <w:color w:val="auto"/>
                <w:sz w:val="15"/>
                <w:szCs w:val="15"/>
                <w:highlight w:val="none"/>
              </w:rPr>
            </w:pPr>
            <w:r>
              <w:rPr>
                <w:rFonts w:hint="default" w:ascii="Times New Roman" w:hAnsi="Times New Roman" w:cs="Times New Roman"/>
                <w:color w:val="auto"/>
                <w:sz w:val="15"/>
                <w:szCs w:val="15"/>
                <w:highlight w:val="none"/>
              </w:rPr>
              <w:t>(b) Measuring infiltrated depth in FC1/D47 Minipe LB Canal</w:t>
            </w:r>
          </w:p>
        </w:tc>
      </w:tr>
    </w:tbl>
    <w:p w14:paraId="52C0F894">
      <w:pPr>
        <w:spacing w:after="0" w:line="360" w:lineRule="auto"/>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Fig. 2  Field measurement of infiltration</w:t>
      </w:r>
    </w:p>
    <w:p w14:paraId="794B1ACA">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图2 地下水入渗现场测量</w:t>
      </w:r>
    </w:p>
    <w:p w14:paraId="21C4A2FB">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2.3 Methodology</w:t>
      </w:r>
    </w:p>
    <w:p w14:paraId="06498D85">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The infiltration rates were calculated using the depths measured at different time intervals, and these values were compared with the simulated values obtained from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KOSTIAKOV’s,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’s, and PHILIP’s models for all locations. Then, performance evaluation and comparison were then carried out using the parameters specific to each model.</w:t>
      </w:r>
    </w:p>
    <w:p w14:paraId="4EC6E1E9">
      <w:pPr>
        <w:spacing w:after="0" w:line="360" w:lineRule="auto"/>
        <w:jc w:val="both"/>
        <w:rPr>
          <w:rFonts w:hint="default" w:ascii="Times New Roman" w:hAnsi="Times New Roman" w:cs="Times New Roman"/>
          <w:b/>
          <w:bCs/>
          <w:color w:val="auto"/>
          <w:sz w:val="24"/>
          <w:szCs w:val="24"/>
          <w:highlight w:val="none"/>
        </w:rPr>
      </w:pPr>
    </w:p>
    <w:p w14:paraId="201480E0">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2.3.1 </w:t>
      </w:r>
      <w:bookmarkStart w:id="7" w:name="_Hlk160462625"/>
      <w:r>
        <w:rPr>
          <w:rFonts w:hint="default" w:ascii="Times New Roman" w:hAnsi="Times New Roman" w:cs="Times New Roman"/>
          <w:b/>
          <w:bCs/>
          <w:color w:val="auto"/>
          <w:sz w:val="24"/>
          <w:szCs w:val="24"/>
          <w:highlight w:val="none"/>
        </w:rPr>
        <w:t xml:space="preserve">Infiltration Models </w:t>
      </w:r>
    </w:p>
    <w:bookmarkEnd w:id="7"/>
    <w:p w14:paraId="2D089950">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This study used four different models: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rPr>
        <w:t>KOSTIAKOV</w:t>
      </w:r>
      <w:r>
        <w:rPr>
          <w:rFonts w:hint="default" w:ascii="Times New Roman" w:hAnsi="Times New Roman" w:cs="Times New Roman"/>
          <w:color w:val="auto"/>
          <w:sz w:val="21"/>
          <w:szCs w:val="21"/>
          <w:highlight w:val="none"/>
        </w:rPr>
        <w:t>’s</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[15]</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’s </w:t>
      </w:r>
      <w:r>
        <w:rPr>
          <w:rFonts w:hint="default" w:ascii="Times New Roman" w:hAnsi="Times New Roman" w:cs="Times New Roman"/>
          <w:color w:val="auto"/>
          <w:sz w:val="21"/>
          <w:szCs w:val="21"/>
          <w:highlight w:val="none"/>
          <w:vertAlign w:val="superscript"/>
        </w:rPr>
        <w:t>[11]</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color w:val="auto"/>
          <w:sz w:val="21"/>
          <w:szCs w:val="21"/>
          <w:highlight w:val="none"/>
        </w:rPr>
        <w:t>PHILIP</w:t>
      </w:r>
      <w:r>
        <w:rPr>
          <w:rFonts w:hint="default" w:ascii="Times New Roman" w:hAnsi="Times New Roman" w:cs="Times New Roman"/>
          <w:color w:val="auto"/>
          <w:sz w:val="21"/>
          <w:szCs w:val="21"/>
          <w:highlight w:val="none"/>
        </w:rPr>
        <w:t xml:space="preserve">’s </w:t>
      </w:r>
      <w:r>
        <w:rPr>
          <w:rFonts w:hint="default" w:ascii="Times New Roman" w:hAnsi="Times New Roman" w:cs="Times New Roman"/>
          <w:color w:val="auto"/>
          <w:sz w:val="21"/>
          <w:szCs w:val="21"/>
          <w:highlight w:val="none"/>
          <w:vertAlign w:val="superscript"/>
        </w:rPr>
        <w:t>[8]</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 xml:space="preserve">to simulate the infiltration capacity and parameters. </w:t>
      </w:r>
    </w:p>
    <w:p w14:paraId="3DEE60D0">
      <w:pPr>
        <w:spacing w:after="0" w:line="360" w:lineRule="auto"/>
        <w:jc w:val="both"/>
        <w:rPr>
          <w:rFonts w:hint="default" w:ascii="Times New Roman" w:hAnsi="Times New Roman" w:cs="Times New Roman"/>
          <w:color w:val="auto"/>
          <w:sz w:val="24"/>
          <w:szCs w:val="24"/>
          <w:highlight w:val="none"/>
        </w:rPr>
      </w:pPr>
    </w:p>
    <w:p w14:paraId="3F54986D">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2.3.1.1 </w:t>
      </w:r>
      <w:r>
        <w:rPr>
          <w:rFonts w:hint="default" w:ascii="Times New Roman" w:hAnsi="Times New Roman" w:cs="Times New Roman"/>
          <w:b/>
          <w:bCs/>
          <w:color w:val="auto"/>
          <w:sz w:val="24"/>
          <w:szCs w:val="24"/>
          <w:highlight w:val="none"/>
          <w:lang w:eastAsia="zh-CN"/>
        </w:rPr>
        <w:t>GREEN-AMPT</w:t>
      </w:r>
      <w:r>
        <w:rPr>
          <w:rFonts w:hint="default" w:ascii="Times New Roman" w:hAnsi="Times New Roman" w:cs="Times New Roman"/>
          <w:b/>
          <w:bCs/>
          <w:color w:val="auto"/>
          <w:sz w:val="24"/>
          <w:szCs w:val="24"/>
          <w:highlight w:val="none"/>
        </w:rPr>
        <w:t>’s Model</w:t>
      </w:r>
    </w:p>
    <w:p w14:paraId="60CAB48C">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shd w:val="clear" w:color="auto" w:fill="FEFEFE"/>
        </w:rPr>
        <w:t>GREEN</w:t>
      </w:r>
      <w:r>
        <w:rPr>
          <w:rFonts w:hint="default" w:ascii="Times New Roman" w:hAnsi="Times New Roman" w:cs="Times New Roman"/>
          <w:color w:val="auto"/>
          <w:sz w:val="21"/>
          <w:szCs w:val="21"/>
          <w:highlight w:val="none"/>
          <w:shd w:val="clear" w:color="auto" w:fill="FEFEFE"/>
        </w:rPr>
        <w:t xml:space="preserve"> and </w:t>
      </w:r>
      <w:r>
        <w:rPr>
          <w:rFonts w:hint="default" w:ascii="Times New Roman" w:hAnsi="Times New Roman" w:cs="Times New Roman"/>
          <w:color w:val="auto"/>
          <w:sz w:val="21"/>
          <w:szCs w:val="21"/>
          <w:highlight w:val="none"/>
          <w:shd w:val="clear" w:color="auto" w:fill="FEFEFE"/>
        </w:rPr>
        <w:t>AMPT</w:t>
      </w:r>
      <w:r>
        <w:rPr>
          <w:rFonts w:hint="default" w:ascii="Times New Roman" w:hAnsi="Times New Roman" w:cs="Times New Roman"/>
          <w:color w:val="auto"/>
          <w:sz w:val="21"/>
          <w:szCs w:val="21"/>
          <w:highlight w:val="none"/>
          <w:shd w:val="clear" w:color="auto" w:fill="FEFEFE"/>
        </w:rPr>
        <w:t xml:space="preserve"> directly applied Darcy's law and proposed </w:t>
      </w:r>
      <w:r>
        <w:rPr>
          <w:rFonts w:hint="default" w:ascii="Times New Roman" w:hAnsi="Times New Roman" w:cs="Times New Roman"/>
          <w:color w:val="auto"/>
          <w:sz w:val="21"/>
          <w:szCs w:val="21"/>
          <w:highlight w:val="none"/>
          <w:shd w:val="clear" w:color="auto" w:fill="FFFFFF"/>
        </w:rPr>
        <w:t>a simple model for water infiltration into homogenous soil</w:t>
      </w:r>
      <w:r>
        <w:rPr>
          <w:rFonts w:hint="default" w:ascii="Times New Roman" w:hAnsi="Times New Roman" w:cs="Times New Roman"/>
          <w:color w:val="auto"/>
          <w:sz w:val="21"/>
          <w:szCs w:val="21"/>
          <w:highlight w:val="none"/>
          <w:shd w:val="clear" w:color="auto" w:fill="FEFEFE"/>
          <w:vertAlign w:val="superscript"/>
        </w:rPr>
        <w:t>[7]</w:t>
      </w:r>
      <w:r>
        <w:rPr>
          <w:rFonts w:hint="default" w:ascii="Times New Roman" w:hAnsi="Times New Roman" w:cs="Times New Roman"/>
          <w:color w:val="auto"/>
          <w:sz w:val="21"/>
          <w:szCs w:val="21"/>
          <w:highlight w:val="none"/>
          <w:shd w:val="clear" w:color="auto" w:fill="FFFFFF"/>
        </w:rPr>
        <w:t xml:space="preserve">. </w:t>
      </w:r>
      <w:r>
        <w:rPr>
          <w:rFonts w:hint="default" w:ascii="Times New Roman" w:hAnsi="Times New Roman" w:cs="Times New Roman"/>
          <w:color w:val="auto"/>
          <w:sz w:val="21"/>
          <w:szCs w:val="21"/>
          <w:highlight w:val="none"/>
        </w:rPr>
        <w:t>The model is expressed by Eq. (1).</w:t>
      </w:r>
    </w:p>
    <w:p w14:paraId="539E595F">
      <w:pPr>
        <w:spacing w:after="0" w:line="360" w:lineRule="auto"/>
        <w:jc w:val="both"/>
        <w:rPr>
          <w:rFonts w:hint="default" w:ascii="Times New Roman" w:hAnsi="Times New Roman" w:cs="Times New Roman"/>
          <w:color w:val="auto"/>
          <w:sz w:val="24"/>
          <w:szCs w:val="24"/>
          <w:highlight w:val="none"/>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60CC7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7CD76D5F">
            <w:pPr>
              <w:spacing w:after="0" w:line="360" w:lineRule="auto"/>
              <w:jc w:val="both"/>
              <w:rPr>
                <w:rFonts w:hint="default" w:ascii="Times New Roman" w:hAnsi="Times New Roman" w:cs="Times New Roman"/>
                <w:color w:val="auto"/>
                <w:sz w:val="24"/>
                <w:szCs w:val="24"/>
                <w:highlight w:val="none"/>
              </w:rPr>
            </w:pPr>
            <m:oMathPara>
              <m:oMathParaPr>
                <m:jc m:val="center"/>
              </m:oMathParaPr>
              <m:oMath>
                <m:sSub>
                  <m:sSubPr>
                    <m:ctrlPr>
                      <w:rPr>
                        <w:rFonts w:hint="default" w:ascii="DejaVu Math TeX Gyre" w:hAnsi="DejaVu Math TeX Gyre" w:cs="Times New Roman"/>
                        <w:i/>
                        <w:color w:val="auto"/>
                        <w:sz w:val="24"/>
                        <w:szCs w:val="24"/>
                        <w:highlight w:val="none"/>
                      </w:rPr>
                    </m:ctrlPr>
                  </m:sSubPr>
                  <m:e>
                    <m:r>
                      <m:rPr>
                        <m:nor/>
                      </m:rPr>
                      <w:rPr>
                        <w:rFonts w:hint="default" w:ascii="DejaVu Math TeX Gyre" w:hAnsi="DejaVu Math TeX Gyre" w:cs="Times New Roman"/>
                        <w:i/>
                        <w:color w:val="auto"/>
                        <w:sz w:val="24"/>
                        <w:szCs w:val="24"/>
                        <w:highlight w:val="none"/>
                      </w:rPr>
                      <m:t>f</m:t>
                    </m:r>
                    <m:ctrlPr>
                      <w:rPr>
                        <w:rFonts w:hint="default" w:ascii="DejaVu Math TeX Gyre" w:hAnsi="DejaVu Math TeX Gyre" w:cs="Times New Roman"/>
                        <w:i/>
                        <w:color w:val="auto"/>
                        <w:sz w:val="24"/>
                        <w:szCs w:val="24"/>
                        <w:highlight w:val="none"/>
                      </w:rPr>
                    </m:ctrlPr>
                  </m:e>
                  <m:sub>
                    <m:r>
                      <m:rPr>
                        <m:nor/>
                      </m:rPr>
                      <w:rPr>
                        <w:rFonts w:hint="default" w:ascii="DejaVu Math TeX Gyre" w:hAnsi="DejaVu Math TeX Gyre" w:cs="Times New Roman"/>
                        <w:i/>
                        <w:color w:val="auto"/>
                        <w:sz w:val="24"/>
                        <w:szCs w:val="24"/>
                        <w:highlight w:val="none"/>
                      </w:rPr>
                      <m:t>p</m:t>
                    </m:r>
                    <m:ctrlPr>
                      <w:rPr>
                        <w:rFonts w:hint="default" w:ascii="DejaVu Math TeX Gyre" w:hAnsi="DejaVu Math TeX Gyre" w:cs="Times New Roman"/>
                        <w:i/>
                        <w:color w:val="auto"/>
                        <w:sz w:val="24"/>
                        <w:szCs w:val="24"/>
                        <w:highlight w:val="none"/>
                      </w:rPr>
                    </m:ctrlPr>
                  </m:sub>
                </m:sSub>
                <m:r>
                  <m:rPr>
                    <m:nor/>
                    <m:sty m:val="p"/>
                  </m:rPr>
                  <w:rPr>
                    <w:rFonts w:hint="default" w:ascii="DejaVu Math TeX Gyre" w:hAnsi="DejaVu Math TeX Gyre" w:cs="Times New Roman"/>
                    <w:i w:val="0"/>
                    <w:color w:val="auto"/>
                    <w:sz w:val="24"/>
                    <w:szCs w:val="24"/>
                    <w:highlight w:val="none"/>
                  </w:rPr>
                  <m:t>=</m:t>
                </m:r>
                <m:r>
                  <m:rPr>
                    <m:nor/>
                  </m:rPr>
                  <w:rPr>
                    <w:rFonts w:hint="default" w:ascii="DejaVu Math TeX Gyre" w:hAnsi="DejaVu Math TeX Gyre" w:cs="Times New Roman"/>
                    <w:i/>
                    <w:color w:val="auto"/>
                    <w:sz w:val="24"/>
                    <w:szCs w:val="24"/>
                    <w:highlight w:val="none"/>
                  </w:rPr>
                  <m:t>m</m:t>
                </m:r>
                <m:r>
                  <m:rPr>
                    <m:nor/>
                    <m:sty m:val="p"/>
                  </m:rPr>
                  <w:rPr>
                    <w:rFonts w:hint="default" w:ascii="DejaVu Math TeX Gyre" w:hAnsi="DejaVu Math TeX Gyre" w:cs="Times New Roman"/>
                    <w:i w:val="0"/>
                    <w:color w:val="auto"/>
                    <w:sz w:val="24"/>
                    <w:szCs w:val="24"/>
                    <w:highlight w:val="none"/>
                  </w:rPr>
                  <m:t>+</m:t>
                </m:r>
                <m:r>
                  <m:rPr>
                    <m:nor/>
                  </m:rPr>
                  <w:rPr>
                    <w:rFonts w:hint="default" w:ascii="DejaVu Math TeX Gyre" w:hAnsi="DejaVu Math TeX Gyre" w:cs="Times New Roman"/>
                    <w:i/>
                    <w:color w:val="auto"/>
                    <w:sz w:val="24"/>
                    <w:szCs w:val="24"/>
                    <w:highlight w:val="none"/>
                  </w:rPr>
                  <m:t>n</m:t>
                </m:r>
                <m:r>
                  <m:rPr>
                    <m:nor/>
                    <m:sty m:val="p"/>
                  </m:rPr>
                  <w:rPr>
                    <w:rFonts w:hint="default" w:ascii="DejaVu Math TeX Gyre" w:hAnsi="DejaVu Math TeX Gyre" w:cs="Times New Roman"/>
                    <w:i w:val="0"/>
                    <w:color w:val="auto"/>
                    <w:sz w:val="24"/>
                    <w:szCs w:val="24"/>
                    <w:highlight w:val="none"/>
                  </w:rPr>
                  <m:t>/</m:t>
                </m:r>
                <m:sSub>
                  <m:sSubPr>
                    <m:ctrlPr>
                      <w:rPr>
                        <w:rFonts w:hint="default" w:ascii="DejaVu Math TeX Gyre" w:hAnsi="DejaVu Math TeX Gyre" w:cs="Times New Roman"/>
                        <w:i/>
                        <w:color w:val="auto"/>
                        <w:sz w:val="24"/>
                        <w:szCs w:val="24"/>
                        <w:highlight w:val="none"/>
                      </w:rPr>
                    </m:ctrlPr>
                  </m:sSubPr>
                  <m:e>
                    <m:r>
                      <m:rPr>
                        <m:nor/>
                      </m:rPr>
                      <w:rPr>
                        <w:rFonts w:hint="default" w:ascii="DejaVu Math TeX Gyre" w:hAnsi="DejaVu Math TeX Gyre" w:cs="Times New Roman"/>
                        <w:i/>
                        <w:color w:val="auto"/>
                        <w:sz w:val="24"/>
                        <w:szCs w:val="24"/>
                        <w:highlight w:val="none"/>
                      </w:rPr>
                      <m:t>F</m:t>
                    </m:r>
                    <m:ctrlPr>
                      <w:rPr>
                        <w:rFonts w:hint="default" w:ascii="DejaVu Math TeX Gyre" w:hAnsi="DejaVu Math TeX Gyre" w:cs="Times New Roman"/>
                        <w:i/>
                        <w:color w:val="auto"/>
                        <w:sz w:val="24"/>
                        <w:szCs w:val="24"/>
                        <w:highlight w:val="none"/>
                      </w:rPr>
                    </m:ctrlPr>
                  </m:e>
                  <m:sub>
                    <m:r>
                      <m:rPr>
                        <m:nor/>
                      </m:rPr>
                      <w:rPr>
                        <w:rFonts w:hint="default" w:ascii="DejaVu Math TeX Gyre" w:hAnsi="DejaVu Math TeX Gyre" w:cs="Times New Roman"/>
                        <w:i/>
                        <w:color w:val="auto"/>
                        <w:sz w:val="24"/>
                        <w:szCs w:val="24"/>
                        <w:highlight w:val="none"/>
                      </w:rPr>
                      <m:t>p</m:t>
                    </m:r>
                    <m:ctrlPr>
                      <w:rPr>
                        <w:rFonts w:hint="default" w:ascii="DejaVu Math TeX Gyre" w:hAnsi="DejaVu Math TeX Gyre" w:cs="Times New Roman"/>
                        <w:i/>
                        <w:color w:val="auto"/>
                        <w:sz w:val="24"/>
                        <w:szCs w:val="24"/>
                        <w:highlight w:val="none"/>
                      </w:rPr>
                    </m:ctrlPr>
                  </m:sub>
                </m:sSub>
              </m:oMath>
            </m:oMathPara>
          </w:p>
        </w:tc>
        <w:tc>
          <w:tcPr>
            <w:tcW w:w="511" w:type="dxa"/>
          </w:tcPr>
          <w:p w14:paraId="6F8BC9DF">
            <w:pPr>
              <w:spacing w:after="0" w:line="360" w:lineRule="auto"/>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p>
        </w:tc>
      </w:tr>
    </w:tbl>
    <w:p w14:paraId="6E177B25">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infiltration capacity (cm) and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vertAlign w:val="subscript"/>
        </w:rPr>
        <w:t xml:space="preserve"> </w:t>
      </w:r>
      <w:r>
        <w:rPr>
          <w:rFonts w:hint="default" w:ascii="Times New Roman" w:hAnsi="Times New Roman" w:cs="Times New Roman"/>
          <w:color w:val="auto"/>
          <w:sz w:val="21"/>
          <w:szCs w:val="21"/>
          <w:highlight w:val="none"/>
        </w:rPr>
        <w:t xml:space="preserve">is the infiltration rate (cm/h) at any given time t (h); </w:t>
      </w:r>
      <m:oMath>
        <m:r>
          <m:rPr>
            <m:nor/>
          </m:rPr>
          <w:rPr>
            <w:rFonts w:hint="default" w:ascii="DejaVu Math TeX Gyre" w:hAnsi="DejaVu Math TeX Gyre" w:cs="Times New Roman"/>
            <w:i/>
            <w:color w:val="auto"/>
            <w:sz w:val="21"/>
            <w:szCs w:val="21"/>
            <w:highlight w:val="none"/>
          </w:rPr>
          <m:t>m</m:t>
        </m:r>
      </m:oMath>
      <w:r>
        <w:rPr>
          <w:rFonts w:hint="default" w:ascii="Times New Roman" w:hAnsi="Times New Roman" w:cs="Times New Roman"/>
          <w:color w:val="auto"/>
          <w:sz w:val="21"/>
          <w:szCs w:val="21"/>
          <w:highlight w:val="none"/>
        </w:rPr>
        <w:t xml:space="preserve"> (cm/h) and </w:t>
      </w:r>
      <m:oMath>
        <m:r>
          <m:rPr>
            <m:nor/>
          </m:rPr>
          <w:rPr>
            <w:rFonts w:hint="default" w:ascii="DejaVu Math TeX Gyre" w:hAnsi="DejaVu Math TeX Gyre" w:cs="Times New Roman"/>
            <w:i/>
            <w:color w:val="auto"/>
            <w:sz w:val="21"/>
            <w:szCs w:val="21"/>
            <w:highlight w:val="none"/>
          </w:rPr>
          <m:t>n</m:t>
        </m:r>
      </m:oMath>
      <w:r>
        <w:rPr>
          <w:rFonts w:hint="default" w:ascii="Times New Roman" w:hAnsi="Times New Roman" w:cs="Times New Roman"/>
          <w:color w:val="auto"/>
          <w:sz w:val="21"/>
          <w:szCs w:val="21"/>
          <w:highlight w:val="none"/>
        </w:rPr>
        <w:t xml:space="preserve"> (cm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/h) are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parameters of the infiltration model. </w:t>
      </w:r>
    </w:p>
    <w:p w14:paraId="15DC2F1C">
      <w:pPr>
        <w:spacing w:after="0" w:line="360" w:lineRule="auto"/>
        <w:jc w:val="both"/>
        <w:rPr>
          <w:rFonts w:hint="default" w:ascii="Times New Roman" w:hAnsi="Times New Roman" w:cs="Times New Roman"/>
          <w:b/>
          <w:bCs/>
          <w:color w:val="auto"/>
          <w:sz w:val="24"/>
          <w:szCs w:val="24"/>
          <w:highlight w:val="none"/>
        </w:rPr>
      </w:pPr>
    </w:p>
    <w:p w14:paraId="3ACC9622">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2.3.1.2 </w:t>
      </w:r>
      <w:r>
        <w:rPr>
          <w:rFonts w:hint="default" w:ascii="Times New Roman" w:hAnsi="Times New Roman" w:cs="Times New Roman"/>
          <w:b/>
          <w:bCs/>
          <w:color w:val="auto"/>
          <w:sz w:val="24"/>
          <w:szCs w:val="24"/>
          <w:highlight w:val="none"/>
        </w:rPr>
        <w:t>KOSTIAKOV</w:t>
      </w:r>
      <w:r>
        <w:rPr>
          <w:rFonts w:hint="default" w:ascii="Times New Roman" w:hAnsi="Times New Roman" w:cs="Times New Roman"/>
          <w:b/>
          <w:bCs/>
          <w:color w:val="auto"/>
          <w:sz w:val="24"/>
          <w:szCs w:val="24"/>
          <w:highlight w:val="none"/>
        </w:rPr>
        <w:t>’s Model</w:t>
      </w:r>
    </w:p>
    <w:p w14:paraId="3A6353C8">
      <w:pPr>
        <w:tabs>
          <w:tab w:val="left" w:pos="5490"/>
        </w:tabs>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KOSTIAKOV</w:t>
      </w:r>
      <w:r>
        <w:rPr>
          <w:rFonts w:hint="default" w:ascii="Times New Roman" w:hAnsi="Times New Roman" w:cs="Times New Roman"/>
          <w:color w:val="auto"/>
          <w:sz w:val="21"/>
          <w:szCs w:val="21"/>
          <w:highlight w:val="none"/>
        </w:rPr>
        <w:t xml:space="preserve"> proposed an equation to estimate the infiltration rate over time</w:t>
      </w:r>
      <w:r>
        <w:rPr>
          <w:rFonts w:hint="default" w:ascii="Times New Roman" w:hAnsi="Times New Roman" w:cs="Times New Roman"/>
          <w:color w:val="auto"/>
          <w:sz w:val="21"/>
          <w:szCs w:val="21"/>
          <w:highlight w:val="none"/>
          <w:vertAlign w:val="superscript"/>
        </w:rPr>
        <w:t>[15]</w:t>
      </w:r>
      <w:r>
        <w:rPr>
          <w:rFonts w:hint="default" w:ascii="Times New Roman" w:hAnsi="Times New Roman" w:cs="Times New Roman"/>
          <w:color w:val="auto"/>
          <w:sz w:val="21"/>
          <w:szCs w:val="21"/>
          <w:highlight w:val="none"/>
        </w:rPr>
        <w:t>. This empirical model provides the cumulative infiltration through Eq. (2).</w:t>
      </w:r>
    </w:p>
    <w:p w14:paraId="626B18FC">
      <w:pPr>
        <w:tabs>
          <w:tab w:val="left" w:pos="5490"/>
        </w:tabs>
        <w:spacing w:after="0" w:line="360" w:lineRule="auto"/>
        <w:jc w:val="both"/>
        <w:rPr>
          <w:rFonts w:hint="default" w:ascii="Times New Roman" w:hAnsi="Times New Roman" w:cs="Times New Roman"/>
          <w:color w:val="auto"/>
          <w:sz w:val="21"/>
          <w:szCs w:val="21"/>
          <w:highlight w:val="none"/>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5"/>
        <w:gridCol w:w="511"/>
      </w:tblGrid>
      <w:tr w14:paraId="252B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Borders>
              <w:top w:val="nil"/>
              <w:left w:val="nil"/>
              <w:bottom w:val="nil"/>
              <w:right w:val="nil"/>
            </w:tcBorders>
          </w:tcPr>
          <w:p w14:paraId="41AA77A1">
            <w:pPr>
              <w:spacing w:after="0" w:line="360" w:lineRule="auto"/>
              <w:jc w:val="both"/>
              <w:rPr>
                <w:rFonts w:hint="default" w:ascii="Times New Roman" w:hAnsi="Times New Roman" w:cs="Times New Roman"/>
                <w:color w:val="auto"/>
                <w:sz w:val="21"/>
                <w:szCs w:val="21"/>
                <w:highlight w:val="none"/>
              </w:rPr>
            </w:pPr>
            <m:oMathPara>
              <m:oMathParaPr>
                <m:jc m:val="center"/>
              </m:oMathParaP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r>
                  <m:rPr>
                    <m:nor/>
                  </m:rPr>
                  <w:rPr>
                    <w:rFonts w:hint="default" w:ascii="DejaVu Math TeX Gyre" w:hAnsi="DejaVu Math TeX Gyre" w:cs="Times New Roman"/>
                    <w:i/>
                    <w:color w:val="auto"/>
                    <w:sz w:val="21"/>
                    <w:szCs w:val="21"/>
                    <w:highlight w:val="none"/>
                  </w:rPr>
                  <m:t>a</m:t>
                </m:r>
                <m:sSup>
                  <m:sSupPr>
                    <m:ctrlPr>
                      <w:rPr>
                        <w:rFonts w:hint="default" w:ascii="DejaVu Math TeX Gyre" w:hAnsi="DejaVu Math TeX Gyre" w:cs="Times New Roman"/>
                        <w:i/>
                        <w:color w:val="auto"/>
                        <w:sz w:val="21"/>
                        <w:szCs w:val="21"/>
                        <w:highlight w:val="none"/>
                      </w:rPr>
                    </m:ctrlPr>
                  </m:sSupPr>
                  <m:e>
                    <m:r>
                      <m:rPr>
                        <m:nor/>
                      </m:rPr>
                      <w:rPr>
                        <w:rFonts w:hint="default" w:ascii="DejaVu Math TeX Gyre" w:hAnsi="DejaVu Math TeX Gyre" w:cs="Times New Roman"/>
                        <w:i/>
                        <w:color w:val="auto"/>
                        <w:sz w:val="21"/>
                        <w:szCs w:val="21"/>
                        <w:highlight w:val="none"/>
                      </w:rPr>
                      <m:t>t</m:t>
                    </m:r>
                    <m:ctrlPr>
                      <w:rPr>
                        <w:rFonts w:hint="default" w:ascii="DejaVu Math TeX Gyre" w:hAnsi="DejaVu Math TeX Gyre" w:cs="Times New Roman"/>
                        <w:i/>
                        <w:color w:val="auto"/>
                        <w:sz w:val="21"/>
                        <w:szCs w:val="21"/>
                        <w:highlight w:val="none"/>
                      </w:rPr>
                    </m:ctrlPr>
                  </m:e>
                  <m:sup>
                    <m:r>
                      <m:rPr>
                        <m:nor/>
                      </m:rPr>
                      <w:rPr>
                        <w:rFonts w:hint="default" w:ascii="DejaVu Math TeX Gyre" w:hAnsi="DejaVu Math TeX Gyre" w:cs="Times New Roman"/>
                        <w:i/>
                        <w:color w:val="auto"/>
                        <w:sz w:val="21"/>
                        <w:szCs w:val="21"/>
                        <w:highlight w:val="none"/>
                      </w:rPr>
                      <m:t>b</m:t>
                    </m:r>
                    <m:ctrlPr>
                      <w:rPr>
                        <w:rFonts w:hint="default" w:ascii="DejaVu Math TeX Gyre" w:hAnsi="DejaVu Math TeX Gyre" w:cs="Times New Roman"/>
                        <w:i/>
                        <w:color w:val="auto"/>
                        <w:sz w:val="21"/>
                        <w:szCs w:val="21"/>
                        <w:highlight w:val="none"/>
                      </w:rPr>
                    </m:ctrlPr>
                  </m:sup>
                </m:sSup>
              </m:oMath>
            </m:oMathPara>
          </w:p>
        </w:tc>
        <w:tc>
          <w:tcPr>
            <w:tcW w:w="511" w:type="dxa"/>
            <w:tcBorders>
              <w:top w:val="nil"/>
              <w:left w:val="nil"/>
              <w:bottom w:val="nil"/>
              <w:right w:val="nil"/>
            </w:tcBorders>
          </w:tcPr>
          <w:p w14:paraId="43BC2D89">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tbl>
    <w:p w14:paraId="0F92038A">
      <w:pPr>
        <w:spacing w:after="0" w:line="360" w:lineRule="auto"/>
        <w:jc w:val="both"/>
        <w:rPr>
          <w:rFonts w:hint="default" w:ascii="Times New Roman" w:hAnsi="Times New Roman" w:cs="Times New Roman"/>
          <w:color w:val="auto"/>
          <w:sz w:val="21"/>
          <w:szCs w:val="21"/>
          <w:highlight w:val="none"/>
        </w:rPr>
      </w:pPr>
    </w:p>
    <w:p w14:paraId="2E40A1F0">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infiltration capacity (cm) at any given time </w:t>
      </w:r>
      <m:oMath>
        <m:r>
          <m:rPr>
            <m:nor/>
          </m:rPr>
          <w:rPr>
            <w:rFonts w:hint="default" w:ascii="DejaVu Math TeX Gyre" w:hAnsi="DejaVu Math TeX Gyre" w:cs="Times New Roman"/>
            <w:i/>
            <w:color w:val="auto"/>
            <w:sz w:val="21"/>
            <w:szCs w:val="21"/>
            <w:highlight w:val="none"/>
          </w:rPr>
          <m:t>t</m:t>
        </m:r>
      </m:oMath>
      <w:r>
        <w:rPr>
          <w:rFonts w:hint="default" w:ascii="Times New Roman" w:hAnsi="Times New Roman" w:cs="Times New Roman"/>
          <w:color w:val="auto"/>
          <w:sz w:val="21"/>
          <w:szCs w:val="21"/>
          <w:highlight w:val="none"/>
        </w:rPr>
        <w:t xml:space="preserve"> from the start; </w:t>
      </w:r>
      <m:oMath>
        <m:r>
          <m:rPr>
            <m:nor/>
          </m:rPr>
          <w:rPr>
            <w:rFonts w:hint="default" w:ascii="DejaVu Math TeX Gyre" w:hAnsi="DejaVu Math TeX Gyre" w:cs="Times New Roman"/>
            <w:i/>
            <w:color w:val="auto"/>
            <w:sz w:val="21"/>
            <w:szCs w:val="21"/>
            <w:highlight w:val="none"/>
          </w:rPr>
          <m:t>t</m:t>
        </m:r>
      </m:oMath>
      <w:r>
        <w:rPr>
          <w:rFonts w:hint="default" w:ascii="Times New Roman" w:hAnsi="Times New Roman" w:cs="Times New Roman"/>
          <w:color w:val="auto"/>
          <w:sz w:val="21"/>
          <w:szCs w:val="21"/>
          <w:highlight w:val="none"/>
        </w:rPr>
        <w:t xml:space="preserve"> = time from the start of infiltration (h); </w:t>
      </w:r>
      <m:oMath>
        <m:r>
          <m:rPr>
            <m:nor/>
          </m:rPr>
          <w:rPr>
            <w:rFonts w:hint="default" w:ascii="DejaVu Math TeX Gyre" w:hAnsi="DejaVu Math TeX Gyre" w:cs="Times New Roman"/>
            <w:i/>
            <w:color w:val="auto"/>
            <w:sz w:val="21"/>
            <w:szCs w:val="21"/>
            <w:highlight w:val="none"/>
          </w:rPr>
          <m:t>a</m:t>
        </m:r>
      </m:oMath>
      <w:r>
        <w:rPr>
          <w:rFonts w:hint="default" w:ascii="Times New Roman" w:hAnsi="Times New Roman" w:cs="Times New Roman"/>
          <w:color w:val="auto"/>
          <w:sz w:val="21"/>
          <w:szCs w:val="21"/>
          <w:highlight w:val="none"/>
        </w:rPr>
        <w:t xml:space="preserve"> and </w:t>
      </w:r>
      <m:oMath>
        <m:r>
          <m:rPr>
            <m:nor/>
          </m:rPr>
          <w:rPr>
            <w:rFonts w:hint="default" w:ascii="DejaVu Math TeX Gyre" w:hAnsi="DejaVu Math TeX Gyre" w:cs="Times New Roman"/>
            <w:i/>
            <w:color w:val="auto"/>
            <w:sz w:val="21"/>
            <w:szCs w:val="21"/>
            <w:highlight w:val="none"/>
          </w:rPr>
          <m:t>b</m:t>
        </m:r>
      </m:oMath>
      <w:r>
        <w:rPr>
          <w:rFonts w:hint="default" w:ascii="Times New Roman" w:hAnsi="Times New Roman" w:cs="Times New Roman"/>
          <w:color w:val="auto"/>
          <w:sz w:val="21"/>
          <w:szCs w:val="21"/>
          <w:highlight w:val="none"/>
        </w:rPr>
        <w:t xml:space="preserve"> are unitless constants that depend on the soil's initial conditions with </w:t>
      </w:r>
      <m:oMath>
        <m:r>
          <m:rPr>
            <m:nor/>
          </m:rPr>
          <w:rPr>
            <w:rFonts w:hint="default" w:ascii="DejaVu Math TeX Gyre" w:hAnsi="DejaVu Math TeX Gyre" w:cs="Times New Roman"/>
            <w:i/>
            <w:color w:val="auto"/>
            <w:sz w:val="21"/>
            <w:szCs w:val="21"/>
            <w:highlight w:val="none"/>
          </w:rPr>
          <m:t>a</m:t>
        </m:r>
        <m:r>
          <m:rPr>
            <m:nor/>
            <m:sty m:val="p"/>
          </m:rPr>
          <w:rPr>
            <w:rFonts w:hint="default" w:ascii="DejaVu Math TeX Gyre" w:hAnsi="DejaVu Math TeX Gyre" w:cs="Times New Roman"/>
            <w:i w:val="0"/>
            <w:color w:val="auto"/>
            <w:sz w:val="21"/>
            <w:szCs w:val="21"/>
            <w:highlight w:val="none"/>
          </w:rPr>
          <m:t>&gt;0</m:t>
        </m:r>
      </m:oMath>
      <w:r>
        <w:rPr>
          <w:rFonts w:hint="default" w:ascii="Times New Roman" w:hAnsi="Times New Roman" w:cs="Times New Roman"/>
          <w:color w:val="auto"/>
          <w:sz w:val="21"/>
          <w:szCs w:val="21"/>
          <w:highlight w:val="none"/>
        </w:rPr>
        <w:t xml:space="preserve"> and </w:t>
      </w:r>
      <m:oMath>
        <m:r>
          <m:rPr>
            <m:nor/>
            <m:sty m:val="p"/>
          </m:rPr>
          <w:rPr>
            <w:rFonts w:hint="default" w:ascii="DejaVu Math TeX Gyre" w:hAnsi="DejaVu Math TeX Gyre" w:cs="Times New Roman"/>
            <w:i w:val="0"/>
            <w:color w:val="auto"/>
            <w:sz w:val="21"/>
            <w:szCs w:val="21"/>
            <w:highlight w:val="none"/>
          </w:rPr>
          <m:t>0&lt;</m:t>
        </m:r>
        <m:r>
          <m:rPr>
            <m:nor/>
          </m:rPr>
          <w:rPr>
            <w:rFonts w:hint="default" w:ascii="DejaVu Math TeX Gyre" w:hAnsi="DejaVu Math TeX Gyre" w:cs="Times New Roman"/>
            <w:i/>
            <w:color w:val="auto"/>
            <w:sz w:val="21"/>
            <w:szCs w:val="21"/>
            <w:highlight w:val="none"/>
          </w:rPr>
          <m:t>b</m:t>
        </m:r>
        <m:r>
          <m:rPr>
            <m:nor/>
            <m:sty m:val="p"/>
          </m:rPr>
          <w:rPr>
            <w:rFonts w:hint="default" w:ascii="DejaVu Math TeX Gyre" w:hAnsi="DejaVu Math TeX Gyre" w:cs="Times New Roman"/>
            <w:i w:val="0"/>
            <w:color w:val="auto"/>
            <w:sz w:val="21"/>
            <w:szCs w:val="21"/>
            <w:highlight w:val="none"/>
          </w:rPr>
          <m:t>&lt;1</m:t>
        </m:r>
      </m:oMath>
      <w:r>
        <w:rPr>
          <w:rFonts w:hint="default" w:ascii="Times New Roman" w:hAnsi="Times New Roman" w:cs="Times New Roman"/>
          <w:color w:val="auto"/>
          <w:sz w:val="21"/>
          <w:szCs w:val="21"/>
          <w:highlight w:val="none"/>
        </w:rPr>
        <w:t xml:space="preserve">. </w:t>
      </w:r>
    </w:p>
    <w:p w14:paraId="00914E55">
      <w:pPr>
        <w:spacing w:after="0" w:line="360" w:lineRule="auto"/>
        <w:jc w:val="both"/>
        <w:rPr>
          <w:rFonts w:hint="default" w:ascii="Times New Roman" w:hAnsi="Times New Roman" w:cs="Times New Roman"/>
          <w:color w:val="auto"/>
          <w:sz w:val="24"/>
          <w:szCs w:val="24"/>
          <w:highlight w:val="none"/>
        </w:rPr>
      </w:pPr>
    </w:p>
    <w:p w14:paraId="21D8A2F0">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2.3.1.3 </w:t>
      </w:r>
      <w:r>
        <w:rPr>
          <w:rFonts w:hint="default" w:ascii="Times New Roman" w:hAnsi="Times New Roman" w:cs="Times New Roman"/>
          <w:b/>
          <w:bCs/>
          <w:color w:val="auto"/>
          <w:sz w:val="24"/>
          <w:szCs w:val="24"/>
          <w:highlight w:val="none"/>
          <w:lang w:eastAsia="zh-CN"/>
        </w:rPr>
        <w:t>HORTON</w:t>
      </w:r>
      <w:r>
        <w:rPr>
          <w:rFonts w:hint="default" w:ascii="Times New Roman" w:hAnsi="Times New Roman" w:cs="Times New Roman"/>
          <w:b/>
          <w:bCs/>
          <w:color w:val="auto"/>
          <w:sz w:val="24"/>
          <w:szCs w:val="24"/>
          <w:highlight w:val="none"/>
        </w:rPr>
        <w:t>’s model</w:t>
      </w:r>
    </w:p>
    <w:p w14:paraId="15F4FD1B">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[11]</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 xml:space="preserve">noticed </w:t>
      </w:r>
      <w:r>
        <w:rPr>
          <w:rFonts w:hint="default" w:ascii="Times New Roman" w:hAnsi="Times New Roman" w:cs="Times New Roman"/>
          <w:color w:val="auto"/>
          <w:sz w:val="21"/>
          <w:szCs w:val="21"/>
          <w:highlight w:val="none"/>
          <w:shd w:val="clear" w:color="auto" w:fill="FFFFFF"/>
        </w:rPr>
        <w:t xml:space="preserve">that the decrease in infiltration capacity over time is directly related to the infiltration rate. </w:t>
      </w:r>
      <w:r>
        <w:rPr>
          <w:rFonts w:hint="default" w:ascii="Times New Roman" w:hAnsi="Times New Roman" w:cs="Times New Roman"/>
          <w:color w:val="auto"/>
          <w:sz w:val="21"/>
          <w:szCs w:val="21"/>
          <w:highlight w:val="none"/>
        </w:rPr>
        <w:t>As a result, a semi-empirical model was expressed as the decay of infiltration capacity with time as an exponential decay. It is given by Eq. (3).</w:t>
      </w:r>
    </w:p>
    <w:p w14:paraId="1C77395F">
      <w:pPr>
        <w:spacing w:after="0" w:line="360" w:lineRule="auto"/>
        <w:jc w:val="both"/>
        <w:rPr>
          <w:rFonts w:hint="default" w:ascii="Times New Roman" w:hAnsi="Times New Roman" w:cs="Times New Roman"/>
          <w:color w:val="auto"/>
          <w:sz w:val="21"/>
          <w:szCs w:val="21"/>
          <w:highlight w:val="none"/>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17C4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24E0B327">
            <w:pPr>
              <w:spacing w:after="0" w:line="360" w:lineRule="auto"/>
              <w:jc w:val="both"/>
              <w:rPr>
                <w:rFonts w:hint="default" w:ascii="Times New Roman" w:hAnsi="Times New Roman" w:cs="Times New Roman"/>
                <w:color w:val="auto"/>
                <w:sz w:val="21"/>
                <w:szCs w:val="21"/>
                <w:highlight w:val="none"/>
              </w:rPr>
            </w:pPr>
            <m:oMathPara>
              <m:oMathParaPr>
                <m:jc m:val="center"/>
              </m:oMathParaP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c</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i w:val="0"/>
                        <w:color w:val="auto"/>
                        <w:sz w:val="21"/>
                        <w:szCs w:val="21"/>
                        <w:highlight w:val="none"/>
                      </w:rPr>
                      <m:t>0</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c</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sSup>
                  <m:sSupPr>
                    <m:ctrlPr>
                      <w:rPr>
                        <w:rFonts w:hint="default" w:ascii="DejaVu Math TeX Gyre" w:hAnsi="DejaVu Math TeX Gyre" w:cs="Times New Roman"/>
                        <w:i/>
                        <w:color w:val="auto"/>
                        <w:sz w:val="21"/>
                        <w:szCs w:val="21"/>
                        <w:highlight w:val="none"/>
                      </w:rPr>
                    </m:ctrlPr>
                  </m:sSupPr>
                  <m:e>
                    <m:sSup>
                      <m:sSupPr>
                        <m:ctrlPr>
                          <w:rPr>
                            <w:rFonts w:hint="default" w:ascii="DejaVu Math TeX Gyre" w:hAnsi="DejaVu Math TeX Gyre" w:cs="Times New Roman"/>
                            <w:i/>
                            <w:color w:val="auto"/>
                            <w:sz w:val="21"/>
                            <w:szCs w:val="21"/>
                            <w:highlight w:val="none"/>
                          </w:rPr>
                        </m:ctrlPr>
                      </m:sSupPr>
                      <m:e>
                        <m:r>
                          <m:rPr>
                            <m:nor/>
                          </m:rPr>
                          <w:rPr>
                            <w:rFonts w:hint="default" w:ascii="DejaVu Math TeX Gyre" w:hAnsi="DejaVu Math TeX Gyre" w:cs="Times New Roman"/>
                            <w:i/>
                            <w:color w:val="auto"/>
                            <w:sz w:val="21"/>
                            <w:szCs w:val="21"/>
                            <w:highlight w:val="none"/>
                          </w:rPr>
                          <m:t>e</m:t>
                        </m:r>
                        <m:ctrlPr>
                          <w:rPr>
                            <w:rFonts w:hint="default" w:ascii="DejaVu Math TeX Gyre" w:hAnsi="DejaVu Math TeX Gyre" w:cs="Times New Roman"/>
                            <w:i/>
                            <w:color w:val="auto"/>
                            <w:sz w:val="21"/>
                            <w:szCs w:val="21"/>
                            <w:highlight w:val="none"/>
                          </w:rPr>
                        </m:ctrlPr>
                      </m:e>
                      <m:sup>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k</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color w:val="auto"/>
                                <w:sz w:val="21"/>
                                <w:szCs w:val="21"/>
                                <w:highlight w:val="none"/>
                              </w:rPr>
                              <m:t>h</m:t>
                            </m:r>
                            <m:ctrlPr>
                              <w:rPr>
                                <w:rFonts w:hint="default" w:ascii="DejaVu Math TeX Gyre" w:hAnsi="DejaVu Math TeX Gyre" w:cs="Times New Roman"/>
                                <w:i/>
                                <w:color w:val="auto"/>
                                <w:sz w:val="21"/>
                                <w:szCs w:val="21"/>
                                <w:highlight w:val="none"/>
                              </w:rPr>
                            </m:ctrlPr>
                          </m:sub>
                        </m:sSub>
                        <m:ctrlPr>
                          <w:rPr>
                            <w:rFonts w:hint="default" w:ascii="DejaVu Math TeX Gyre" w:hAnsi="DejaVu Math TeX Gyre" w:cs="Times New Roman"/>
                            <w:i/>
                            <w:color w:val="auto"/>
                            <w:sz w:val="21"/>
                            <w:szCs w:val="21"/>
                            <w:highlight w:val="none"/>
                          </w:rPr>
                        </m:ctrlPr>
                      </m:sup>
                    </m:sSup>
                    <m:ctrlPr>
                      <w:rPr>
                        <w:rFonts w:hint="default" w:ascii="DejaVu Math TeX Gyre" w:hAnsi="DejaVu Math TeX Gyre" w:cs="Times New Roman"/>
                        <w:i/>
                        <w:color w:val="auto"/>
                        <w:sz w:val="21"/>
                        <w:szCs w:val="21"/>
                        <w:highlight w:val="none"/>
                      </w:rPr>
                    </m:ctrlPr>
                  </m:e>
                  <m:sup>
                    <m:r>
                      <m:rPr>
                        <m:nor/>
                      </m:rPr>
                      <w:rPr>
                        <w:rFonts w:hint="default" w:ascii="DejaVu Math TeX Gyre" w:hAnsi="DejaVu Math TeX Gyre" w:cs="Times New Roman"/>
                        <w:i/>
                        <w:color w:val="auto"/>
                        <w:sz w:val="21"/>
                        <w:szCs w:val="21"/>
                        <w:highlight w:val="none"/>
                      </w:rPr>
                      <m:t>t</m:t>
                    </m:r>
                    <m:ctrlPr>
                      <w:rPr>
                        <w:rFonts w:hint="default" w:ascii="DejaVu Math TeX Gyre" w:hAnsi="DejaVu Math TeX Gyre" w:cs="Times New Roman"/>
                        <w:i/>
                        <w:color w:val="auto"/>
                        <w:sz w:val="21"/>
                        <w:szCs w:val="21"/>
                        <w:highlight w:val="none"/>
                      </w:rPr>
                    </m:ctrlPr>
                  </m:sup>
                </m:sSup>
              </m:oMath>
            </m:oMathPara>
          </w:p>
        </w:tc>
        <w:tc>
          <w:tcPr>
            <w:tcW w:w="511" w:type="dxa"/>
          </w:tcPr>
          <w:p w14:paraId="5B459723">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r>
    </w:tbl>
    <w:p w14:paraId="729EAA61">
      <w:pPr>
        <w:spacing w:after="0" w:line="360" w:lineRule="auto"/>
        <w:jc w:val="both"/>
        <w:rPr>
          <w:rFonts w:hint="default" w:ascii="Times New Roman" w:hAnsi="Times New Roman" w:cs="Times New Roman"/>
          <w:color w:val="auto"/>
          <w:sz w:val="21"/>
          <w:szCs w:val="21"/>
          <w:highlight w:val="none"/>
        </w:rPr>
      </w:pPr>
    </w:p>
    <w:p w14:paraId="01CF2848">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p</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infiltration rate (cm/h) at time </w:t>
      </w:r>
      <m:oMath>
        <m:r>
          <m:rPr>
            <m:nor/>
          </m:rPr>
          <w:rPr>
            <w:rFonts w:hint="default" w:ascii="DejaVu Math TeX Gyre" w:hAnsi="DejaVu Math TeX Gyre" w:cs="Times New Roman"/>
            <w:i/>
            <w:color w:val="auto"/>
            <w:sz w:val="21"/>
            <w:szCs w:val="21"/>
            <w:highlight w:val="none"/>
          </w:rPr>
          <m:t>t</m:t>
        </m:r>
      </m:oMath>
      <w:r>
        <w:rPr>
          <w:rFonts w:hint="default" w:ascii="Times New Roman" w:hAnsi="Times New Roman" w:cs="Times New Roman"/>
          <w:color w:val="auto"/>
          <w:sz w:val="21"/>
          <w:szCs w:val="21"/>
          <w:highlight w:val="none"/>
        </w:rPr>
        <w:t xml:space="preserve"> from the start;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i w:val="0"/>
                <w:color w:val="auto"/>
                <w:sz w:val="21"/>
                <w:szCs w:val="21"/>
                <w:highlight w:val="none"/>
              </w:rPr>
              <m:t>0</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initial infiltration rate at time </w:t>
      </w:r>
      <m:oMath>
        <m:r>
          <m:rPr>
            <m:nor/>
          </m:rPr>
          <w:rPr>
            <w:rFonts w:hint="default" w:ascii="DejaVu Math TeX Gyre" w:hAnsi="DejaVu Math TeX Gyre" w:cs="Times New Roman"/>
            <w:i/>
            <w:color w:val="auto"/>
            <w:sz w:val="21"/>
            <w:szCs w:val="21"/>
            <w:highlight w:val="none"/>
          </w:rPr>
          <m:t>t</m:t>
        </m:r>
        <m:r>
          <m:rPr>
            <m:nor/>
            <m:sty m:val="p"/>
          </m:rPr>
          <w:rPr>
            <w:rFonts w:hint="default" w:ascii="DejaVu Math TeX Gyre" w:hAnsi="DejaVu Math TeX Gyre" w:cs="Times New Roman"/>
            <w:i w:val="0"/>
            <w:color w:val="auto"/>
            <w:sz w:val="21"/>
            <w:szCs w:val="21"/>
            <w:highlight w:val="none"/>
          </w:rPr>
          <m:t>=0</m:t>
        </m:r>
      </m:oMath>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color w:val="auto"/>
          <w:sz w:val="21"/>
          <w:szCs w:val="21"/>
          <w:highlight w:val="none"/>
        </w:rPr>
        <w:t xml:space="preserv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f</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c</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final infiltration rate (cm/h) occurring at </w:t>
      </w:r>
      <m:oMath>
        <m:r>
          <m:rPr>
            <m:nor/>
          </m:rPr>
          <w:rPr>
            <w:rFonts w:hint="default" w:ascii="DejaVu Math TeX Gyre" w:hAnsi="DejaVu Math TeX Gyre" w:cs="Times New Roman"/>
            <w:i/>
            <w:color w:val="auto"/>
            <w:sz w:val="21"/>
            <w:szCs w:val="21"/>
            <w:highlight w:val="none"/>
          </w:rPr>
          <m:t>t</m:t>
        </m:r>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t</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c</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(hr);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k</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color w:val="auto"/>
                <w:sz w:val="21"/>
                <w:szCs w:val="21"/>
                <w:highlight w:val="none"/>
              </w:rPr>
              <m:t>h</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’s decay coefficient (min</w:t>
      </w:r>
      <w:r>
        <w:rPr>
          <w:rFonts w:hint="default" w:ascii="Times New Roman" w:hAnsi="Times New Roman" w:cs="Times New Roman"/>
          <w:color w:val="auto"/>
          <w:sz w:val="21"/>
          <w:szCs w:val="21"/>
          <w:highlight w:val="none"/>
          <w:vertAlign w:val="superscript"/>
        </w:rPr>
        <w:t>-1</w:t>
      </w:r>
      <w:r>
        <w:rPr>
          <w:rFonts w:hint="default" w:ascii="Times New Roman" w:hAnsi="Times New Roman" w:cs="Times New Roman"/>
          <w:color w:val="auto"/>
          <w:sz w:val="21"/>
          <w:szCs w:val="21"/>
          <w:highlight w:val="none"/>
        </w:rPr>
        <w:t xml:space="preserve">). </w:t>
      </w:r>
    </w:p>
    <w:p w14:paraId="03491273">
      <w:pPr>
        <w:spacing w:after="0" w:line="360" w:lineRule="auto"/>
        <w:jc w:val="both"/>
        <w:rPr>
          <w:rFonts w:hint="default" w:ascii="Times New Roman" w:hAnsi="Times New Roman" w:cs="Times New Roman"/>
          <w:color w:val="auto"/>
          <w:sz w:val="24"/>
          <w:szCs w:val="24"/>
          <w:highlight w:val="none"/>
        </w:rPr>
      </w:pPr>
    </w:p>
    <w:p w14:paraId="5A39655F">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2.3.1.4 </w:t>
      </w:r>
      <w:r>
        <w:rPr>
          <w:rFonts w:hint="default" w:ascii="Times New Roman" w:hAnsi="Times New Roman" w:cs="Times New Roman"/>
          <w:b/>
          <w:bCs/>
          <w:color w:val="auto"/>
          <w:sz w:val="24"/>
          <w:szCs w:val="24"/>
          <w:highlight w:val="none"/>
        </w:rPr>
        <w:t>PHILIP</w:t>
      </w:r>
      <w:r>
        <w:rPr>
          <w:rFonts w:hint="default" w:ascii="Times New Roman" w:hAnsi="Times New Roman" w:cs="Times New Roman"/>
          <w:b/>
          <w:bCs/>
          <w:color w:val="auto"/>
          <w:sz w:val="24"/>
          <w:szCs w:val="24"/>
          <w:highlight w:val="none"/>
        </w:rPr>
        <w:t>’s Model</w:t>
      </w:r>
    </w:p>
    <w:p w14:paraId="0A71FDE6">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PHILIP</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[8]</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shd w:val="clear" w:color="auto" w:fill="FFFFFF"/>
        </w:rPr>
        <w:t xml:space="preserve">proposed a method to establish a connection between cumulative infiltration and soil characteristics. </w:t>
      </w:r>
      <w:r>
        <w:rPr>
          <w:rFonts w:hint="default" w:ascii="Times New Roman" w:hAnsi="Times New Roman" w:cs="Times New Roman"/>
          <w:color w:val="auto"/>
          <w:sz w:val="21"/>
          <w:szCs w:val="21"/>
          <w:highlight w:val="none"/>
        </w:rPr>
        <w:t>This physical-based model expresses infiltration rate in Eq. (4).</w:t>
      </w:r>
    </w:p>
    <w:p w14:paraId="2612A767">
      <w:pPr>
        <w:spacing w:after="0" w:line="360" w:lineRule="auto"/>
        <w:jc w:val="both"/>
        <w:rPr>
          <w:rFonts w:hint="default" w:ascii="Times New Roman" w:hAnsi="Times New Roman" w:cs="Times New Roman"/>
          <w:color w:val="auto"/>
          <w:sz w:val="21"/>
          <w:szCs w:val="21"/>
          <w:highlight w:val="none"/>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0EAC3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34ACF1EF">
            <w:pPr>
              <w:spacing w:after="0" w:line="360" w:lineRule="auto"/>
              <w:jc w:val="both"/>
              <w:rPr>
                <w:rFonts w:hint="default" w:ascii="Times New Roman" w:hAnsi="Times New Roman" w:cs="Times New Roman"/>
                <w:color w:val="auto"/>
                <w:sz w:val="21"/>
                <w:szCs w:val="21"/>
                <w:highlight w:val="none"/>
              </w:rPr>
            </w:pPr>
            <m:oMathPara>
              <m:oMathParaPr>
                <m:jc m:val="center"/>
              </m:oMathParaPr>
              <m:oMath>
                <m:r>
                  <m:rPr>
                    <m:nor/>
                  </m:rPr>
                  <w:rPr>
                    <w:rFonts w:hint="default" w:ascii="DejaVu Math TeX Gyre" w:hAnsi="DejaVu Math TeX Gyre" w:cs="Times New Roman"/>
                    <w:i/>
                    <w:color w:val="auto"/>
                    <w:sz w:val="21"/>
                    <w:szCs w:val="21"/>
                    <w:highlight w:val="none"/>
                  </w:rPr>
                  <m:t>F</m:t>
                </m:r>
                <m:r>
                  <m:rPr>
                    <m:nor/>
                    <m:sty m:val="p"/>
                  </m:rPr>
                  <w:rPr>
                    <w:rFonts w:hint="default" w:ascii="DejaVu Math TeX Gyre" w:hAnsi="DejaVu Math TeX Gyre" w:cs="Times New Roman"/>
                    <w:i w:val="0"/>
                    <w:color w:val="auto"/>
                    <w:sz w:val="21"/>
                    <w:szCs w:val="21"/>
                    <w:highlight w:val="none"/>
                  </w:rPr>
                  <m:t>=</m:t>
                </m:r>
                <m:r>
                  <m:rPr>
                    <m:nor/>
                  </m:rPr>
                  <w:rPr>
                    <w:rFonts w:hint="default" w:ascii="DejaVu Math TeX Gyre" w:hAnsi="DejaVu Math TeX Gyre" w:cs="Times New Roman"/>
                    <w:i/>
                    <w:color w:val="auto"/>
                    <w:sz w:val="21"/>
                    <w:szCs w:val="21"/>
                    <w:highlight w:val="none"/>
                  </w:rPr>
                  <m:t>s</m:t>
                </m:r>
                <m:sSup>
                  <m:sSupPr>
                    <m:ctrlPr>
                      <w:rPr>
                        <w:rFonts w:hint="default" w:ascii="DejaVu Math TeX Gyre" w:hAnsi="DejaVu Math TeX Gyre" w:cs="Times New Roman"/>
                        <w:i/>
                        <w:color w:val="auto"/>
                        <w:sz w:val="21"/>
                        <w:szCs w:val="21"/>
                        <w:highlight w:val="none"/>
                      </w:rPr>
                    </m:ctrlPr>
                  </m:sSupPr>
                  <m:e>
                    <m:r>
                      <m:rPr>
                        <m:nor/>
                      </m:rPr>
                      <w:rPr>
                        <w:rFonts w:hint="default" w:ascii="DejaVu Math TeX Gyre" w:hAnsi="DejaVu Math TeX Gyre" w:cs="Times New Roman"/>
                        <w:i/>
                        <w:color w:val="auto"/>
                        <w:sz w:val="21"/>
                        <w:szCs w:val="21"/>
                        <w:highlight w:val="none"/>
                      </w:rPr>
                      <m:t>t</m:t>
                    </m:r>
                    <m:ctrlPr>
                      <w:rPr>
                        <w:rFonts w:hint="default" w:ascii="DejaVu Math TeX Gyre" w:hAnsi="DejaVu Math TeX Gyre" w:cs="Times New Roman"/>
                        <w:i/>
                        <w:color w:val="auto"/>
                        <w:sz w:val="21"/>
                        <w:szCs w:val="21"/>
                        <w:highlight w:val="none"/>
                      </w:rPr>
                    </m:ctrlPr>
                  </m:e>
                  <m:sup>
                    <m:r>
                      <m:rPr>
                        <m:nor/>
                        <m:sty m:val="p"/>
                      </m:rPr>
                      <w:rPr>
                        <w:rFonts w:hint="default" w:ascii="DejaVu Math TeX Gyre" w:hAnsi="DejaVu Math TeX Gyre" w:cs="Times New Roman"/>
                        <w:i w:val="0"/>
                        <w:color w:val="auto"/>
                        <w:sz w:val="21"/>
                        <w:szCs w:val="21"/>
                        <w:highlight w:val="none"/>
                      </w:rPr>
                      <m:t xml:space="preserve">0.5 </m:t>
                    </m:r>
                    <m:ctrlPr>
                      <w:rPr>
                        <w:rFonts w:hint="default" w:ascii="DejaVu Math TeX Gyre" w:hAnsi="DejaVu Math TeX Gyre" w:cs="Times New Roman"/>
                        <w:i/>
                        <w:color w:val="auto"/>
                        <w:sz w:val="21"/>
                        <w:szCs w:val="21"/>
                        <w:highlight w:val="none"/>
                      </w:rPr>
                    </m:ctrlPr>
                  </m:sup>
                </m:sSup>
                <m:r>
                  <m:rPr>
                    <m:nor/>
                    <m:sty m:val="p"/>
                  </m:rPr>
                  <w:rPr>
                    <w:rFonts w:hint="default" w:ascii="DejaVu Math TeX Gyre" w:hAnsi="DejaVu Math TeX Gyre" w:cs="Times New Roman"/>
                    <w:i w:val="0"/>
                    <w:color w:val="auto"/>
                    <w:sz w:val="21"/>
                    <w:szCs w:val="21"/>
                    <w:highlight w:val="none"/>
                  </w:rPr>
                  <m:t>+</m:t>
                </m:r>
                <m:r>
                  <m:rPr>
                    <m:nor/>
                  </m:rPr>
                  <w:rPr>
                    <w:rFonts w:hint="default" w:ascii="DejaVu Math TeX Gyre" w:hAnsi="DejaVu Math TeX Gyre" w:cs="Times New Roman"/>
                    <w:i/>
                    <w:color w:val="auto"/>
                    <w:sz w:val="21"/>
                    <w:szCs w:val="21"/>
                    <w:highlight w:val="none"/>
                  </w:rPr>
                  <m:t>Kt</m:t>
                </m:r>
              </m:oMath>
            </m:oMathPara>
          </w:p>
        </w:tc>
        <w:tc>
          <w:tcPr>
            <w:tcW w:w="511" w:type="dxa"/>
          </w:tcPr>
          <w:p w14:paraId="69CA3DA8">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r>
    </w:tbl>
    <w:p w14:paraId="52260A5D">
      <w:pPr>
        <w:spacing w:after="0" w:line="360" w:lineRule="auto"/>
        <w:jc w:val="both"/>
        <w:rPr>
          <w:rFonts w:hint="default" w:ascii="Times New Roman" w:hAnsi="Times New Roman" w:cs="Times New Roman"/>
          <w:color w:val="auto"/>
          <w:sz w:val="21"/>
          <w:szCs w:val="21"/>
          <w:highlight w:val="none"/>
        </w:rPr>
      </w:pPr>
    </w:p>
    <w:p w14:paraId="43943224">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Differentiating Eq. (4), the infiltration capacity is expressed as Eq. (5).</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2952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27547402">
            <w:pPr>
              <w:spacing w:after="0" w:line="360" w:lineRule="auto"/>
              <w:jc w:val="both"/>
              <w:rPr>
                <w:rFonts w:hint="default" w:ascii="Times New Roman" w:hAnsi="Times New Roman" w:cs="Times New Roman"/>
                <w:color w:val="auto"/>
                <w:sz w:val="21"/>
                <w:szCs w:val="21"/>
                <w:highlight w:val="none"/>
              </w:rPr>
            </w:pPr>
            <m:oMathPara>
              <m:oMathParaPr>
                <m:jc m:val="center"/>
              </m:oMathParaPr>
              <m:oMath>
                <m:r>
                  <m:rPr>
                    <m:nor/>
                  </m:rPr>
                  <w:rPr>
                    <w:rFonts w:hint="default" w:ascii="DejaVu Math TeX Gyre" w:hAnsi="DejaVu Math TeX Gyre" w:cs="Times New Roman"/>
                    <w:i/>
                    <w:color w:val="auto"/>
                    <w:sz w:val="21"/>
                    <w:szCs w:val="21"/>
                    <w:highlight w:val="none"/>
                  </w:rPr>
                  <m:t>f</m:t>
                </m:r>
                <m:r>
                  <m:rPr>
                    <m:nor/>
                    <m:sty m:val="p"/>
                  </m:rPr>
                  <w:rPr>
                    <w:rFonts w:hint="default" w:ascii="DejaVu Math TeX Gyre" w:hAnsi="DejaVu Math TeX Gyre" w:cs="Times New Roman"/>
                    <w:i w:val="0"/>
                    <w:color w:val="auto"/>
                    <w:sz w:val="21"/>
                    <w:szCs w:val="21"/>
                    <w:highlight w:val="none"/>
                  </w:rPr>
                  <m:t>=</m:t>
                </m:r>
                <m:f>
                  <m:fPr>
                    <m:ctrlPr>
                      <w:rPr>
                        <w:rFonts w:hint="default" w:ascii="DejaVu Math TeX Gyre" w:hAnsi="DejaVu Math TeX Gyre" w:cs="Times New Roman"/>
                        <w:i/>
                        <w:color w:val="auto"/>
                        <w:sz w:val="21"/>
                        <w:szCs w:val="21"/>
                        <w:highlight w:val="none"/>
                      </w:rPr>
                    </m:ctrlPr>
                  </m:fPr>
                  <m:num>
                    <m:r>
                      <m:rPr>
                        <m:nor/>
                        <m:sty m:val="p"/>
                      </m:rPr>
                      <w:rPr>
                        <w:rFonts w:hint="default" w:ascii="DejaVu Math TeX Gyre" w:hAnsi="DejaVu Math TeX Gyre" w:cs="Times New Roman"/>
                        <w:i w:val="0"/>
                        <w:color w:val="auto"/>
                        <w:sz w:val="21"/>
                        <w:szCs w:val="21"/>
                        <w:highlight w:val="none"/>
                      </w:rPr>
                      <m:t>1</m:t>
                    </m:r>
                    <m:ctrlPr>
                      <w:rPr>
                        <w:rFonts w:hint="default" w:ascii="DejaVu Math TeX Gyre" w:hAnsi="DejaVu Math TeX Gyre" w:cs="Times New Roman"/>
                        <w:i/>
                        <w:color w:val="auto"/>
                        <w:sz w:val="21"/>
                        <w:szCs w:val="21"/>
                        <w:highlight w:val="none"/>
                      </w:rPr>
                    </m:ctrlPr>
                  </m:num>
                  <m:den>
                    <m:r>
                      <m:rPr>
                        <m:nor/>
                        <m:sty m:val="p"/>
                      </m:rPr>
                      <w:rPr>
                        <w:rFonts w:hint="default" w:ascii="DejaVu Math TeX Gyre" w:hAnsi="DejaVu Math TeX Gyre" w:cs="Times New Roman"/>
                        <w:i w:val="0"/>
                        <w:color w:val="auto"/>
                        <w:sz w:val="21"/>
                        <w:szCs w:val="21"/>
                        <w:highlight w:val="none"/>
                      </w:rPr>
                      <m:t>2</m:t>
                    </m:r>
                    <m:ctrlPr>
                      <w:rPr>
                        <w:rFonts w:hint="default" w:ascii="DejaVu Math TeX Gyre" w:hAnsi="DejaVu Math TeX Gyre" w:cs="Times New Roman"/>
                        <w:i/>
                        <w:color w:val="auto"/>
                        <w:sz w:val="21"/>
                        <w:szCs w:val="21"/>
                        <w:highlight w:val="none"/>
                      </w:rPr>
                    </m:ctrlPr>
                  </m:den>
                </m:f>
                <m:r>
                  <m:rPr>
                    <m:nor/>
                  </m:rPr>
                  <w:rPr>
                    <w:rFonts w:hint="default" w:ascii="DejaVu Math TeX Gyre" w:hAnsi="DejaVu Math TeX Gyre" w:cs="Times New Roman"/>
                    <w:i/>
                    <w:color w:val="auto"/>
                    <w:sz w:val="21"/>
                    <w:szCs w:val="21"/>
                    <w:highlight w:val="none"/>
                  </w:rPr>
                  <m:t>s</m:t>
                </m:r>
                <m:sSup>
                  <m:sSupPr>
                    <m:ctrlPr>
                      <w:rPr>
                        <w:rFonts w:hint="default" w:ascii="DejaVu Math TeX Gyre" w:hAnsi="DejaVu Math TeX Gyre" w:cs="Times New Roman"/>
                        <w:i/>
                        <w:color w:val="auto"/>
                        <w:sz w:val="21"/>
                        <w:szCs w:val="21"/>
                        <w:highlight w:val="none"/>
                      </w:rPr>
                    </m:ctrlPr>
                  </m:sSupPr>
                  <m:e>
                    <m:r>
                      <m:rPr>
                        <m:nor/>
                      </m:rPr>
                      <w:rPr>
                        <w:rFonts w:hint="default" w:ascii="DejaVu Math TeX Gyre" w:hAnsi="DejaVu Math TeX Gyre" w:cs="Times New Roman"/>
                        <w:i/>
                        <w:color w:val="auto"/>
                        <w:sz w:val="21"/>
                        <w:szCs w:val="21"/>
                        <w:highlight w:val="none"/>
                      </w:rPr>
                      <m:t>t</m:t>
                    </m:r>
                    <m:ctrlPr>
                      <w:rPr>
                        <w:rFonts w:hint="default" w:ascii="DejaVu Math TeX Gyre" w:hAnsi="DejaVu Math TeX Gyre" w:cs="Times New Roman"/>
                        <w:i/>
                        <w:color w:val="auto"/>
                        <w:sz w:val="21"/>
                        <w:szCs w:val="21"/>
                        <w:highlight w:val="none"/>
                      </w:rPr>
                    </m:ctrlPr>
                  </m:e>
                  <m:sup>
                    <m:r>
                      <m:rPr>
                        <m:nor/>
                        <m:sty m:val="p"/>
                      </m:rPr>
                      <w:rPr>
                        <w:rFonts w:hint="default" w:ascii="DejaVu Math TeX Gyre" w:hAnsi="DejaVu Math TeX Gyre" w:cs="Times New Roman"/>
                        <w:i w:val="0"/>
                        <w:color w:val="auto"/>
                        <w:sz w:val="21"/>
                        <w:szCs w:val="21"/>
                        <w:highlight w:val="none"/>
                      </w:rPr>
                      <m:t xml:space="preserve">-0.5 </m:t>
                    </m:r>
                    <m:ctrlPr>
                      <w:rPr>
                        <w:rFonts w:hint="default" w:ascii="DejaVu Math TeX Gyre" w:hAnsi="DejaVu Math TeX Gyre" w:cs="Times New Roman"/>
                        <w:i/>
                        <w:color w:val="auto"/>
                        <w:sz w:val="21"/>
                        <w:szCs w:val="21"/>
                        <w:highlight w:val="none"/>
                      </w:rPr>
                    </m:ctrlPr>
                  </m:sup>
                </m:sSup>
                <m:r>
                  <m:rPr>
                    <m:nor/>
                    <m:sty m:val="p"/>
                  </m:rPr>
                  <w:rPr>
                    <w:rFonts w:hint="default" w:ascii="DejaVu Math TeX Gyre" w:hAnsi="DejaVu Math TeX Gyre" w:cs="Times New Roman"/>
                    <w:i w:val="0"/>
                    <w:color w:val="auto"/>
                    <w:sz w:val="21"/>
                    <w:szCs w:val="21"/>
                    <w:highlight w:val="none"/>
                  </w:rPr>
                  <m:t>+</m:t>
                </m:r>
                <m:r>
                  <m:rPr>
                    <m:nor/>
                  </m:rPr>
                  <w:rPr>
                    <w:rFonts w:hint="default" w:ascii="DejaVu Math TeX Gyre" w:hAnsi="DejaVu Math TeX Gyre" w:cs="Times New Roman"/>
                    <w:i/>
                    <w:color w:val="auto"/>
                    <w:sz w:val="21"/>
                    <w:szCs w:val="21"/>
                    <w:highlight w:val="none"/>
                  </w:rPr>
                  <m:t>K</m:t>
                </m:r>
              </m:oMath>
            </m:oMathPara>
          </w:p>
        </w:tc>
        <w:tc>
          <w:tcPr>
            <w:tcW w:w="511" w:type="dxa"/>
          </w:tcPr>
          <w:p w14:paraId="6DF3495D">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r>
    </w:tbl>
    <w:p w14:paraId="7B00D342">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r>
          <m:rPr>
            <m:nor/>
          </m:rPr>
          <w:rPr>
            <w:rFonts w:hint="default" w:ascii="DejaVu Math TeX Gyre" w:hAnsi="DejaVu Math TeX Gyre" w:cs="Times New Roman"/>
            <w:i/>
            <w:color w:val="auto"/>
            <w:sz w:val="21"/>
            <w:szCs w:val="21"/>
            <w:highlight w:val="none"/>
          </w:rPr>
          <m:t>f</m:t>
        </m:r>
      </m:oMath>
      <w:r>
        <w:rPr>
          <w:rFonts w:hint="default" w:ascii="Times New Roman" w:hAnsi="Times New Roman" w:cs="Times New Roman"/>
          <w:color w:val="auto"/>
          <w:sz w:val="21"/>
          <w:szCs w:val="21"/>
          <w:highlight w:val="none"/>
        </w:rPr>
        <w:t xml:space="preserve"> is the infiltration rate at any time </w:t>
      </w:r>
      <m:oMath>
        <m:r>
          <m:rPr>
            <m:nor/>
          </m:rPr>
          <w:rPr>
            <w:rFonts w:hint="default" w:ascii="DejaVu Math TeX Gyre" w:hAnsi="DejaVu Math TeX Gyre" w:cs="Times New Roman"/>
            <w:i/>
            <w:color w:val="auto"/>
            <w:sz w:val="21"/>
            <w:szCs w:val="21"/>
            <w:highlight w:val="none"/>
          </w:rPr>
          <m:t>t</m:t>
        </m:r>
      </m:oMath>
      <w:r>
        <w:rPr>
          <w:rFonts w:hint="default" w:ascii="Times New Roman" w:hAnsi="Times New Roman" w:cs="Times New Roman"/>
          <w:color w:val="auto"/>
          <w:sz w:val="21"/>
          <w:szCs w:val="21"/>
          <w:highlight w:val="none"/>
        </w:rPr>
        <w:t xml:space="preserve"> from the start (cm/h); </w:t>
      </w:r>
      <m:oMath>
        <m:r>
          <m:rPr>
            <m:nor/>
          </m:rPr>
          <w:rPr>
            <w:rFonts w:hint="default" w:ascii="DejaVu Math TeX Gyre" w:hAnsi="DejaVu Math TeX Gyre" w:cs="Times New Roman"/>
            <w:i/>
            <w:color w:val="auto"/>
            <w:sz w:val="21"/>
            <w:szCs w:val="21"/>
            <w:highlight w:val="none"/>
          </w:rPr>
          <m:t>s</m:t>
        </m:r>
      </m:oMath>
      <w:r>
        <w:rPr>
          <w:rFonts w:hint="default" w:ascii="Times New Roman" w:hAnsi="Times New Roman" w:cs="Times New Roman"/>
          <w:color w:val="auto"/>
          <w:sz w:val="21"/>
          <w:szCs w:val="21"/>
          <w:highlight w:val="none"/>
        </w:rPr>
        <w:t xml:space="preserve"> is the soil suction potential function known as sorptivity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xml:space="preserve">); </w:t>
      </w:r>
      <m:oMath>
        <m:r>
          <m:rPr>
            <m:nor/>
          </m:rPr>
          <w:rPr>
            <w:rFonts w:hint="default" w:ascii="DejaVu Math TeX Gyre" w:hAnsi="DejaVu Math TeX Gyre" w:cs="Times New Roman"/>
            <w:i/>
            <w:color w:val="auto"/>
            <w:sz w:val="21"/>
            <w:szCs w:val="21"/>
            <w:highlight w:val="none"/>
          </w:rPr>
          <m:t>k</m:t>
        </m:r>
      </m:oMath>
      <w:r>
        <w:rPr>
          <w:rFonts w:hint="default" w:ascii="Times New Roman" w:hAnsi="Times New Roman" w:cs="Times New Roman"/>
          <w:color w:val="auto"/>
          <w:sz w:val="21"/>
          <w:szCs w:val="21"/>
          <w:highlight w:val="none"/>
        </w:rPr>
        <w:t xml:space="preserve"> is the Darcy’s hydraulic conductivity (cm/h). </w:t>
      </w:r>
    </w:p>
    <w:p w14:paraId="69B57599">
      <w:pPr>
        <w:spacing w:after="0" w:line="360" w:lineRule="auto"/>
        <w:jc w:val="both"/>
        <w:rPr>
          <w:rFonts w:hint="default" w:ascii="Times New Roman" w:hAnsi="Times New Roman" w:cs="Times New Roman"/>
          <w:color w:val="auto"/>
          <w:sz w:val="24"/>
          <w:szCs w:val="24"/>
          <w:highlight w:val="none"/>
        </w:rPr>
      </w:pPr>
    </w:p>
    <w:p w14:paraId="0B3D895B">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2.3.2 Statistical analysis of infiltration rates using different performance indices</w:t>
      </w:r>
    </w:p>
    <w:p w14:paraId="53AA36ED">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2.3.2.1 Correlation coefficient (</w:t>
      </w:r>
      <w:r>
        <w:rPr>
          <w:rFonts w:hint="default" w:ascii="Times New Roman" w:hAnsi="Times New Roman" w:cs="Times New Roman"/>
          <w:b/>
          <w:bCs/>
          <w:i/>
          <w:iCs/>
          <w:color w:val="auto"/>
          <w:sz w:val="24"/>
          <w:szCs w:val="24"/>
          <w:highlight w:val="none"/>
          <w:lang w:val="en-US"/>
        </w:rPr>
        <w:t>r</w:t>
      </w:r>
      <w:r>
        <w:rPr>
          <w:rFonts w:hint="default" w:ascii="Times New Roman" w:hAnsi="Times New Roman" w:cs="Times New Roman"/>
          <w:b/>
          <w:bCs/>
          <w:color w:val="auto"/>
          <w:sz w:val="24"/>
          <w:szCs w:val="24"/>
          <w:highlight w:val="none"/>
        </w:rPr>
        <w:t>)</w:t>
      </w:r>
    </w:p>
    <w:p w14:paraId="4E2FB691">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The coefficient of correlation is a statistical measure that calculates the strength of the relationship between the relative movements of two variables. The coefficient of correlation is calculated as given in the Eq. (6). </w:t>
      </w:r>
    </w:p>
    <w:p w14:paraId="5439C158">
      <w:pPr>
        <w:spacing w:after="0" w:line="360" w:lineRule="auto"/>
        <w:jc w:val="both"/>
        <w:rPr>
          <w:rFonts w:hint="default" w:ascii="Times New Roman" w:hAnsi="Times New Roman" w:cs="Times New Roman"/>
          <w:color w:val="auto"/>
          <w:sz w:val="21"/>
          <w:szCs w:val="21"/>
          <w:highlight w:val="none"/>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5634D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46BB2529">
            <w:pPr>
              <w:spacing w:after="0" w:line="360" w:lineRule="auto"/>
              <w:jc w:val="both"/>
              <w:rPr>
                <w:rFonts w:hint="default" w:ascii="Times New Roman" w:hAnsi="Times New Roman" w:cs="Times New Roman" w:eastAsiaTheme="minorEastAsia"/>
                <w:color w:val="auto"/>
                <w:sz w:val="21"/>
                <w:szCs w:val="21"/>
                <w:highlight w:val="none"/>
              </w:rPr>
            </w:pPr>
            <m:oMathPara>
              <m:oMathParaPr>
                <m:jc m:val="center"/>
              </m:oMathParaPr>
              <m:oMath>
                <m:r>
                  <m:rPr>
                    <m:nor/>
                  </m:rPr>
                  <w:rPr>
                    <w:rFonts w:hint="default" w:ascii="DejaVu Math TeX Gyre" w:hAnsi="DejaVu Math TeX Gyre" w:cs="Times New Roman"/>
                    <w:i/>
                    <w:color w:val="auto"/>
                    <w:sz w:val="21"/>
                    <w:szCs w:val="21"/>
                    <w:highlight w:val="none"/>
                  </w:rPr>
                  <m:t>r</m:t>
                </m:r>
                <m:r>
                  <m:rPr>
                    <m:nor/>
                    <m:sty m:val="p"/>
                  </m:rPr>
                  <w:rPr>
                    <w:rFonts w:hint="default" w:ascii="DejaVu Math TeX Gyre" w:hAnsi="DejaVu Math TeX Gyre" w:cs="Times New Roman"/>
                    <w:i w:val="0"/>
                    <w:color w:val="auto"/>
                    <w:sz w:val="21"/>
                    <w:szCs w:val="21"/>
                    <w:highlight w:val="none"/>
                  </w:rPr>
                  <m:t>=</m:t>
                </m:r>
                <m:f>
                  <m:fPr>
                    <m:ctrlPr>
                      <w:rPr>
                        <w:rFonts w:hint="default" w:ascii="DejaVu Math TeX Gyre" w:hAnsi="DejaVu Math TeX Gyre" w:cs="Times New Roman"/>
                        <w:i/>
                        <w:color w:val="auto"/>
                        <w:sz w:val="21"/>
                        <w:szCs w:val="21"/>
                        <w:highlight w:val="none"/>
                      </w:rPr>
                    </m:ctrlPr>
                  </m:fPr>
                  <m:num>
                    <m:nary>
                      <m:naryPr>
                        <m:chr m:val="∑"/>
                        <m:limLoc m:val="undOvr"/>
                        <m:subHide m:val="1"/>
                        <m:supHide m:val="1"/>
                        <m:ctrlPr>
                          <w:rPr>
                            <w:rFonts w:hint="default" w:ascii="DejaVu Math TeX Gyre" w:hAnsi="DejaVu Math TeX Gyre" w:cs="Times New Roman"/>
                            <w:i/>
                            <w:color w:val="auto"/>
                            <w:sz w:val="21"/>
                            <w:szCs w:val="21"/>
                            <w:highlight w:val="none"/>
                          </w:rPr>
                        </m:ctrlPr>
                      </m:naryPr>
                      <m:sub>
                        <m:ctrlPr>
                          <w:rPr>
                            <w:rFonts w:hint="default" w:ascii="DejaVu Math TeX Gyre" w:hAnsi="DejaVu Math TeX Gyre" w:cs="Times New Roman"/>
                            <w:i/>
                            <w:color w:val="auto"/>
                            <w:sz w:val="21"/>
                            <w:szCs w:val="21"/>
                            <w:highlight w:val="none"/>
                          </w:rPr>
                        </m:ctrlPr>
                      </m:sub>
                      <m:sup>
                        <m:ctrlPr>
                          <w:rPr>
                            <w:rFonts w:hint="default" w:ascii="DejaVu Math TeX Gyre" w:hAnsi="DejaVu Math TeX Gyre" w:cs="Times New Roman"/>
                            <w:i/>
                            <w:color w:val="auto"/>
                            <w:sz w:val="21"/>
                            <w:szCs w:val="21"/>
                            <w:highlight w:val="none"/>
                          </w:rPr>
                        </m:ctrlPr>
                      </m:sup>
                      <m:e>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acc>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acc>
                        <m:r>
                          <m:rPr>
                            <m:nor/>
                            <m:sty m:val="p"/>
                          </m:rPr>
                          <w:rPr>
                            <w:rFonts w:hint="default" w:ascii="DejaVu Math TeX Gyre" w:hAnsi="DejaVu Math TeX Gyre" w:cs="Times New Roman"/>
                            <w:i w:val="0"/>
                            <w:color w:val="auto"/>
                            <w:sz w:val="21"/>
                            <w:szCs w:val="21"/>
                            <w:highlight w:val="none"/>
                          </w:rPr>
                          <m:t>)</m:t>
                        </m:r>
                        <m:ctrlPr>
                          <w:rPr>
                            <w:rFonts w:hint="default" w:ascii="DejaVu Math TeX Gyre" w:hAnsi="DejaVu Math TeX Gyre" w:cs="Times New Roman"/>
                            <w:i/>
                            <w:color w:val="auto"/>
                            <w:sz w:val="21"/>
                            <w:szCs w:val="21"/>
                            <w:highlight w:val="none"/>
                          </w:rPr>
                        </m:ctrlPr>
                      </m:e>
                    </m:nary>
                    <m:ctrlPr>
                      <w:rPr>
                        <w:rFonts w:hint="default" w:ascii="DejaVu Math TeX Gyre" w:hAnsi="DejaVu Math TeX Gyre" w:cs="Times New Roman"/>
                        <w:i/>
                        <w:color w:val="auto"/>
                        <w:sz w:val="21"/>
                        <w:szCs w:val="21"/>
                        <w:highlight w:val="none"/>
                      </w:rPr>
                    </m:ctrlPr>
                  </m:num>
                  <m:den>
                    <m:rad>
                      <m:radPr>
                        <m:degHide m:val="1"/>
                        <m:ctrlPr>
                          <w:rPr>
                            <w:rFonts w:hint="default" w:ascii="DejaVu Math TeX Gyre" w:hAnsi="DejaVu Math TeX Gyre" w:cs="Times New Roman"/>
                            <w:i/>
                            <w:color w:val="auto"/>
                            <w:sz w:val="21"/>
                            <w:szCs w:val="21"/>
                            <w:highlight w:val="none"/>
                          </w:rPr>
                        </m:ctrlPr>
                      </m:radPr>
                      <m:deg>
                        <m:ctrlPr>
                          <w:rPr>
                            <w:rFonts w:hint="default" w:ascii="DejaVu Math TeX Gyre" w:hAnsi="DejaVu Math TeX Gyre" w:cs="Times New Roman"/>
                            <w:i/>
                            <w:color w:val="auto"/>
                            <w:sz w:val="21"/>
                            <w:szCs w:val="21"/>
                            <w:highlight w:val="none"/>
                          </w:rPr>
                        </m:ctrlPr>
                      </m:deg>
                      <m:e>
                        <m:nary>
                          <m:naryPr>
                            <m:chr m:val="∑"/>
                            <m:limLoc m:val="undOvr"/>
                            <m:subHide m:val="1"/>
                            <m:supHide m:val="1"/>
                            <m:ctrlPr>
                              <w:rPr>
                                <w:rFonts w:hint="default" w:ascii="DejaVu Math TeX Gyre" w:hAnsi="DejaVu Math TeX Gyre" w:cs="Times New Roman"/>
                                <w:i/>
                                <w:color w:val="auto"/>
                                <w:sz w:val="21"/>
                                <w:szCs w:val="21"/>
                                <w:highlight w:val="none"/>
                              </w:rPr>
                            </m:ctrlPr>
                          </m:naryPr>
                          <m:sub>
                            <m:ctrlPr>
                              <w:rPr>
                                <w:rFonts w:hint="default" w:ascii="DejaVu Math TeX Gyre" w:hAnsi="DejaVu Math TeX Gyre" w:cs="Times New Roman"/>
                                <w:i/>
                                <w:color w:val="auto"/>
                                <w:sz w:val="21"/>
                                <w:szCs w:val="21"/>
                                <w:highlight w:val="none"/>
                              </w:rPr>
                            </m:ctrlPr>
                          </m:sub>
                          <m:sup>
                            <m:ctrlPr>
                              <w:rPr>
                                <w:rFonts w:hint="default" w:ascii="DejaVu Math TeX Gyre" w:hAnsi="DejaVu Math TeX Gyre" w:cs="Times New Roman"/>
                                <w:i/>
                                <w:color w:val="auto"/>
                                <w:sz w:val="21"/>
                                <w:szCs w:val="21"/>
                                <w:highlight w:val="none"/>
                              </w:rPr>
                            </m:ctrlPr>
                          </m:sup>
                          <m:e>
                            <m:sSup>
                              <m:sSupPr>
                                <m:ctrlPr>
                                  <w:rPr>
                                    <w:rFonts w:hint="default" w:ascii="DejaVu Math TeX Gyre" w:hAnsi="DejaVu Math TeX Gyre" w:cs="Times New Roman"/>
                                    <w:i/>
                                    <w:color w:val="auto"/>
                                    <w:sz w:val="21"/>
                                    <w:szCs w:val="21"/>
                                    <w:highlight w:val="none"/>
                                  </w:rPr>
                                </m:ctrlPr>
                              </m:sSupPr>
                              <m:e>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acc>
                                <m:r>
                                  <m:rPr>
                                    <m:nor/>
                                    <m:sty m:val="p"/>
                                  </m:rPr>
                                  <w:rPr>
                                    <w:rFonts w:hint="default" w:ascii="DejaVu Math TeX Gyre" w:hAnsi="DejaVu Math TeX Gyre" w:cs="Times New Roman"/>
                                    <w:i w:val="0"/>
                                    <w:color w:val="auto"/>
                                    <w:sz w:val="21"/>
                                    <w:szCs w:val="21"/>
                                    <w:highlight w:val="none"/>
                                  </w:rPr>
                                  <m:t>)</m:t>
                                </m:r>
                                <m:ctrlPr>
                                  <w:rPr>
                                    <w:rFonts w:hint="default" w:ascii="DejaVu Math TeX Gyre" w:hAnsi="DejaVu Math TeX Gyre" w:cs="Times New Roman"/>
                                    <w:i/>
                                    <w:color w:val="auto"/>
                                    <w:sz w:val="21"/>
                                    <w:szCs w:val="21"/>
                                    <w:highlight w:val="none"/>
                                  </w:rPr>
                                </m:ctrlPr>
                              </m:e>
                              <m:sup>
                                <m:r>
                                  <m:rPr>
                                    <m:nor/>
                                    <m:sty m:val="p"/>
                                  </m:rPr>
                                  <w:rPr>
                                    <w:rFonts w:hint="default" w:ascii="DejaVu Math TeX Gyre" w:hAnsi="DejaVu Math TeX Gyre" w:cs="Times New Roman"/>
                                    <w:i w:val="0"/>
                                    <w:color w:val="auto"/>
                                    <w:sz w:val="21"/>
                                    <w:szCs w:val="21"/>
                                    <w:highlight w:val="none"/>
                                  </w:rPr>
                                  <m:t xml:space="preserve">2 </m:t>
                                </m:r>
                                <m:ctrlPr>
                                  <w:rPr>
                                    <w:rFonts w:hint="default" w:ascii="DejaVu Math TeX Gyre" w:hAnsi="DejaVu Math TeX Gyre" w:cs="Times New Roman"/>
                                    <w:i/>
                                    <w:color w:val="auto"/>
                                    <w:sz w:val="21"/>
                                    <w:szCs w:val="21"/>
                                    <w:highlight w:val="none"/>
                                  </w:rPr>
                                </m:ctrlPr>
                              </m:sup>
                            </m:sSup>
                            <m:ctrlPr>
                              <w:rPr>
                                <w:rFonts w:hint="default" w:ascii="DejaVu Math TeX Gyre" w:hAnsi="DejaVu Math TeX Gyre" w:cs="Times New Roman"/>
                                <w:i/>
                                <w:color w:val="auto"/>
                                <w:sz w:val="21"/>
                                <w:szCs w:val="21"/>
                                <w:highlight w:val="none"/>
                              </w:rPr>
                            </m:ctrlPr>
                          </m:e>
                        </m:nary>
                        <m:nary>
                          <m:naryPr>
                            <m:chr m:val="∑"/>
                            <m:limLoc m:val="undOvr"/>
                            <m:subHide m:val="1"/>
                            <m:supHide m:val="1"/>
                            <m:ctrlPr>
                              <w:rPr>
                                <w:rFonts w:hint="default" w:ascii="DejaVu Math TeX Gyre" w:hAnsi="DejaVu Math TeX Gyre" w:cs="Times New Roman"/>
                                <w:i/>
                                <w:color w:val="auto"/>
                                <w:sz w:val="21"/>
                                <w:szCs w:val="21"/>
                                <w:highlight w:val="none"/>
                              </w:rPr>
                            </m:ctrlPr>
                          </m:naryPr>
                          <m:sub>
                            <m:ctrlPr>
                              <w:rPr>
                                <w:rFonts w:hint="default" w:ascii="DejaVu Math TeX Gyre" w:hAnsi="DejaVu Math TeX Gyre" w:cs="Times New Roman"/>
                                <w:i/>
                                <w:color w:val="auto"/>
                                <w:sz w:val="21"/>
                                <w:szCs w:val="21"/>
                                <w:highlight w:val="none"/>
                              </w:rPr>
                            </m:ctrlPr>
                          </m:sub>
                          <m:sup>
                            <m:ctrlPr>
                              <w:rPr>
                                <w:rFonts w:hint="default" w:ascii="DejaVu Math TeX Gyre" w:hAnsi="DejaVu Math TeX Gyre" w:cs="Times New Roman"/>
                                <w:i/>
                                <w:color w:val="auto"/>
                                <w:sz w:val="21"/>
                                <w:szCs w:val="21"/>
                                <w:highlight w:val="none"/>
                              </w:rPr>
                            </m:ctrlPr>
                          </m:sup>
                          <m:e>
                            <m:sSup>
                              <m:sSupPr>
                                <m:ctrlPr>
                                  <w:rPr>
                                    <w:rFonts w:hint="default" w:ascii="DejaVu Math TeX Gyre" w:hAnsi="DejaVu Math TeX Gyre" w:cs="Times New Roman"/>
                                    <w:i/>
                                    <w:color w:val="auto"/>
                                    <w:sz w:val="21"/>
                                    <w:szCs w:val="21"/>
                                    <w:highlight w:val="none"/>
                                  </w:rPr>
                                </m:ctrlPr>
                              </m:sSupPr>
                              <m:e>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acc>
                                <m:r>
                                  <m:rPr>
                                    <m:nor/>
                                    <m:sty m:val="p"/>
                                  </m:rPr>
                                  <w:rPr>
                                    <w:rFonts w:hint="default" w:ascii="DejaVu Math TeX Gyre" w:hAnsi="DejaVu Math TeX Gyre" w:cs="Times New Roman"/>
                                    <w:i w:val="0"/>
                                    <w:color w:val="auto"/>
                                    <w:sz w:val="21"/>
                                    <w:szCs w:val="21"/>
                                    <w:highlight w:val="none"/>
                                  </w:rPr>
                                  <m:t>)</m:t>
                                </m:r>
                                <m:ctrlPr>
                                  <w:rPr>
                                    <w:rFonts w:hint="default" w:ascii="DejaVu Math TeX Gyre" w:hAnsi="DejaVu Math TeX Gyre" w:cs="Times New Roman"/>
                                    <w:i/>
                                    <w:color w:val="auto"/>
                                    <w:sz w:val="21"/>
                                    <w:szCs w:val="21"/>
                                    <w:highlight w:val="none"/>
                                  </w:rPr>
                                </m:ctrlPr>
                              </m:e>
                              <m:sup>
                                <m:r>
                                  <m:rPr>
                                    <m:nor/>
                                    <m:sty m:val="p"/>
                                  </m:rPr>
                                  <w:rPr>
                                    <w:rFonts w:hint="default" w:ascii="DejaVu Math TeX Gyre" w:hAnsi="DejaVu Math TeX Gyre" w:cs="Times New Roman"/>
                                    <w:i w:val="0"/>
                                    <w:color w:val="auto"/>
                                    <w:sz w:val="21"/>
                                    <w:szCs w:val="21"/>
                                    <w:highlight w:val="none"/>
                                  </w:rPr>
                                  <m:t xml:space="preserve">2 </m:t>
                                </m:r>
                                <m:ctrlPr>
                                  <w:rPr>
                                    <w:rFonts w:hint="default" w:ascii="DejaVu Math TeX Gyre" w:hAnsi="DejaVu Math TeX Gyre" w:cs="Times New Roman"/>
                                    <w:i/>
                                    <w:color w:val="auto"/>
                                    <w:sz w:val="21"/>
                                    <w:szCs w:val="21"/>
                                    <w:highlight w:val="none"/>
                                  </w:rPr>
                                </m:ctrlPr>
                              </m:sup>
                            </m:sSup>
                            <m:ctrlPr>
                              <w:rPr>
                                <w:rFonts w:hint="default" w:ascii="DejaVu Math TeX Gyre" w:hAnsi="DejaVu Math TeX Gyre" w:cs="Times New Roman"/>
                                <w:i/>
                                <w:color w:val="auto"/>
                                <w:sz w:val="21"/>
                                <w:szCs w:val="21"/>
                                <w:highlight w:val="none"/>
                              </w:rPr>
                            </m:ctrlPr>
                          </m:e>
                        </m:nary>
                        <m:ctrlPr>
                          <w:rPr>
                            <w:rFonts w:hint="default" w:ascii="DejaVu Math TeX Gyre" w:hAnsi="DejaVu Math TeX Gyre" w:cs="Times New Roman"/>
                            <w:i/>
                            <w:color w:val="auto"/>
                            <w:sz w:val="21"/>
                            <w:szCs w:val="21"/>
                            <w:highlight w:val="none"/>
                          </w:rPr>
                        </m:ctrlPr>
                      </m:e>
                    </m:rad>
                    <m:ctrlPr>
                      <w:rPr>
                        <w:rFonts w:hint="default" w:ascii="DejaVu Math TeX Gyre" w:hAnsi="DejaVu Math TeX Gyre" w:cs="Times New Roman"/>
                        <w:i/>
                        <w:color w:val="auto"/>
                        <w:sz w:val="21"/>
                        <w:szCs w:val="21"/>
                        <w:highlight w:val="none"/>
                      </w:rPr>
                    </m:ctrlPr>
                  </m:den>
                </m:f>
              </m:oMath>
            </m:oMathPara>
          </w:p>
        </w:tc>
        <w:tc>
          <w:tcPr>
            <w:tcW w:w="511" w:type="dxa"/>
          </w:tcPr>
          <w:p w14:paraId="7EFDC950">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p w14:paraId="0FD0BECF">
            <w:pPr>
              <w:spacing w:after="0" w:line="360" w:lineRule="auto"/>
              <w:jc w:val="both"/>
              <w:rPr>
                <w:rFonts w:hint="default" w:ascii="Times New Roman" w:hAnsi="Times New Roman" w:cs="Times New Roman"/>
                <w:color w:val="auto"/>
                <w:sz w:val="21"/>
                <w:szCs w:val="21"/>
                <w:highlight w:val="none"/>
              </w:rPr>
            </w:pPr>
          </w:p>
        </w:tc>
      </w:tr>
    </w:tbl>
    <w:p w14:paraId="6920F753">
      <w:pPr>
        <w:spacing w:after="0" w:line="360" w:lineRule="auto"/>
        <w:jc w:val="both"/>
        <w:rPr>
          <w:rFonts w:hint="default" w:ascii="Times New Roman" w:hAnsi="Times New Roman" w:cs="Times New Roman"/>
          <w:color w:val="auto"/>
          <w:sz w:val="21"/>
          <w:szCs w:val="21"/>
          <w:highlight w:val="none"/>
        </w:rPr>
      </w:pPr>
    </w:p>
    <w:p w14:paraId="60020419">
      <w:pPr>
        <w:spacing w:after="0" w:line="360" w:lineRule="auto"/>
        <w:jc w:val="both"/>
        <w:rPr>
          <w:rStyle w:val="29"/>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values of observed data </w:t>
      </w:r>
      <m:oMath>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acc>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mean of the values of observed data;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values of estimated data and </w:t>
      </w:r>
      <m:oMath>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acc>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mean of the values of the estimated data.</w:t>
      </w:r>
    </w:p>
    <w:p w14:paraId="48641337">
      <w:pPr>
        <w:spacing w:after="0" w:line="360" w:lineRule="auto"/>
        <w:jc w:val="both"/>
        <w:rPr>
          <w:rFonts w:hint="default" w:ascii="Times New Roman" w:hAnsi="Times New Roman" w:cs="Times New Roman"/>
          <w:color w:val="auto"/>
          <w:sz w:val="24"/>
          <w:szCs w:val="24"/>
          <w:highlight w:val="none"/>
        </w:rPr>
      </w:pPr>
    </w:p>
    <w:p w14:paraId="791BACFC">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2.3.2.2 Root Mean Square Error (</w:t>
      </w:r>
      <w:r>
        <w:rPr>
          <w:rFonts w:hint="default" w:ascii="Times New Roman" w:hAnsi="Times New Roman" w:cs="Times New Roman"/>
          <w:b/>
          <w:bCs/>
          <w:i/>
          <w:color w:val="auto"/>
          <w:sz w:val="24"/>
          <w:szCs w:val="24"/>
          <w:highlight w:val="none"/>
        </w:rPr>
        <w:t>RMSE</w:t>
      </w:r>
      <w:r>
        <w:rPr>
          <w:rFonts w:hint="default" w:ascii="Times New Roman" w:hAnsi="Times New Roman" w:cs="Times New Roman"/>
          <w:b/>
          <w:bCs/>
          <w:color w:val="auto"/>
          <w:sz w:val="24"/>
          <w:szCs w:val="24"/>
          <w:highlight w:val="none"/>
        </w:rPr>
        <w:t>)</w:t>
      </w:r>
    </w:p>
    <w:p w14:paraId="497822B1">
      <w:pPr>
        <w:spacing w:after="0" w:line="360" w:lineRule="auto"/>
        <w:jc w:val="both"/>
        <w:rPr>
          <w:rFonts w:hint="default" w:ascii="Times New Roman" w:hAnsi="Times New Roman" w:cs="Times New Roman"/>
          <w:color w:val="auto"/>
          <w:sz w:val="21"/>
          <w:szCs w:val="21"/>
          <w:highlight w:val="none"/>
        </w:rPr>
      </w:pPr>
      <w:bookmarkStart w:id="8" w:name="_Hlk217823732"/>
      <w:r>
        <w:rPr>
          <w:rFonts w:hint="default" w:ascii="Times New Roman" w:hAnsi="Times New Roman" w:cs="Times New Roman"/>
          <w:color w:val="auto"/>
          <w:sz w:val="21"/>
          <w:szCs w:val="21"/>
          <w:highlight w:val="none"/>
        </w:rPr>
        <w:t xml:space="preserve">The root mean square error quantifies the average magnitude of the error between simulated and observed values. </w:t>
      </w:r>
      <w:bookmarkEnd w:id="8"/>
      <w:r>
        <w:rPr>
          <w:rFonts w:hint="default" w:ascii="Times New Roman" w:hAnsi="Times New Roman" w:cs="Times New Roman"/>
          <w:color w:val="auto"/>
          <w:sz w:val="21"/>
          <w:szCs w:val="21"/>
          <w:highlight w:val="none"/>
        </w:rPr>
        <w:t>This is evaluated as given in Eq. (7).</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1EB08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20D7C5C2">
            <w:pPr>
              <w:spacing w:after="0" w:line="360" w:lineRule="auto"/>
              <w:jc w:val="both"/>
              <w:rPr>
                <w:rFonts w:hint="default" w:ascii="Times New Roman" w:hAnsi="Times New Roman" w:cs="Times New Roman" w:eastAsiaTheme="minorEastAsia"/>
                <w:color w:val="auto"/>
                <w:sz w:val="21"/>
                <w:szCs w:val="21"/>
                <w:highlight w:val="none"/>
              </w:rPr>
            </w:pPr>
            <m:oMathPara>
              <m:oMathParaPr>
                <m:jc m:val="center"/>
              </m:oMathParaPr>
              <m:oMath>
                <m:r>
                  <m:rPr>
                    <m:nor/>
                  </m:rPr>
                  <w:rPr>
                    <w:rFonts w:hint="default" w:ascii="DejaVu Math TeX Gyre" w:hAnsi="DejaVu Math TeX Gyre" w:cs="Times New Roman"/>
                    <w:i/>
                    <w:color w:val="auto"/>
                    <w:sz w:val="21"/>
                    <w:szCs w:val="21"/>
                    <w:highlight w:val="none"/>
                  </w:rPr>
                  <m:t>RMSE</m:t>
                </m:r>
                <m:r>
                  <m:rPr>
                    <m:nor/>
                    <m:sty m:val="p"/>
                  </m:rPr>
                  <w:rPr>
                    <w:rFonts w:hint="default" w:ascii="DejaVu Math TeX Gyre" w:hAnsi="DejaVu Math TeX Gyre" w:cs="Times New Roman"/>
                    <w:i w:val="0"/>
                    <w:color w:val="auto"/>
                    <w:sz w:val="21"/>
                    <w:szCs w:val="21"/>
                    <w:highlight w:val="none"/>
                  </w:rPr>
                  <m:t>=</m:t>
                </m:r>
                <m:rad>
                  <m:radPr>
                    <m:degHide m:val="1"/>
                    <m:ctrlPr>
                      <w:rPr>
                        <w:rFonts w:hint="default" w:ascii="DejaVu Math TeX Gyre" w:hAnsi="DejaVu Math TeX Gyre" w:cs="Times New Roman"/>
                        <w:i/>
                        <w:color w:val="auto"/>
                        <w:sz w:val="21"/>
                        <w:szCs w:val="21"/>
                        <w:highlight w:val="none"/>
                      </w:rPr>
                    </m:ctrlPr>
                  </m:radPr>
                  <m:deg>
                    <m:ctrlPr>
                      <w:rPr>
                        <w:rFonts w:hint="default" w:ascii="DejaVu Math TeX Gyre" w:hAnsi="DejaVu Math TeX Gyre" w:cs="Times New Roman"/>
                        <w:i/>
                        <w:color w:val="auto"/>
                        <w:sz w:val="21"/>
                        <w:szCs w:val="21"/>
                        <w:highlight w:val="none"/>
                      </w:rPr>
                    </m:ctrlPr>
                  </m:deg>
                  <m:e>
                    <m:f>
                      <m:fPr>
                        <m:ctrlPr>
                          <w:rPr>
                            <w:rFonts w:hint="default" w:ascii="DejaVu Math TeX Gyre" w:hAnsi="DejaVu Math TeX Gyre" w:cs="Times New Roman"/>
                            <w:i/>
                            <w:color w:val="auto"/>
                            <w:sz w:val="21"/>
                            <w:szCs w:val="21"/>
                            <w:highlight w:val="none"/>
                          </w:rPr>
                        </m:ctrlPr>
                      </m:fPr>
                      <m:num>
                        <m:r>
                          <m:rPr>
                            <m:nor/>
                            <m:sty m:val="p"/>
                          </m:rPr>
                          <w:rPr>
                            <w:rFonts w:hint="default" w:ascii="DejaVu Math TeX Gyre" w:hAnsi="DejaVu Math TeX Gyre" w:cs="Times New Roman"/>
                            <w:i w:val="0"/>
                            <w:color w:val="auto"/>
                            <w:sz w:val="21"/>
                            <w:szCs w:val="21"/>
                            <w:highlight w:val="none"/>
                          </w:rPr>
                          <m:t>1</m:t>
                        </m:r>
                        <m:ctrlPr>
                          <w:rPr>
                            <w:rFonts w:hint="default" w:ascii="DejaVu Math TeX Gyre" w:hAnsi="DejaVu Math TeX Gyre" w:cs="Times New Roman"/>
                            <w:i/>
                            <w:color w:val="auto"/>
                            <w:sz w:val="21"/>
                            <w:szCs w:val="21"/>
                            <w:highlight w:val="none"/>
                          </w:rPr>
                        </m:ctrlPr>
                      </m:num>
                      <m:den>
                        <m:r>
                          <m:rPr>
                            <m:nor/>
                          </m:rPr>
                          <w:rPr>
                            <w:rFonts w:hint="default" w:ascii="DejaVu Math TeX Gyre" w:hAnsi="DejaVu Math TeX Gyre" w:cs="Times New Roman"/>
                            <w:i/>
                            <w:color w:val="auto"/>
                            <w:sz w:val="21"/>
                            <w:szCs w:val="21"/>
                            <w:highlight w:val="none"/>
                          </w:rPr>
                          <m:t>N</m:t>
                        </m:r>
                        <m:ctrlPr>
                          <w:rPr>
                            <w:rFonts w:hint="default" w:ascii="DejaVu Math TeX Gyre" w:hAnsi="DejaVu Math TeX Gyre" w:cs="Times New Roman"/>
                            <w:i/>
                            <w:color w:val="auto"/>
                            <w:sz w:val="21"/>
                            <w:szCs w:val="21"/>
                            <w:highlight w:val="none"/>
                          </w:rPr>
                        </m:ctrlPr>
                      </m:den>
                    </m:f>
                    <m:d>
                      <m:dPr>
                        <m:ctrlPr>
                          <w:rPr>
                            <w:rFonts w:hint="default" w:ascii="DejaVu Math TeX Gyre" w:hAnsi="DejaVu Math TeX Gyre" w:cs="Times New Roman"/>
                            <w:i/>
                            <w:color w:val="auto"/>
                            <w:sz w:val="21"/>
                            <w:szCs w:val="21"/>
                            <w:highlight w:val="none"/>
                          </w:rPr>
                        </m:ctrlPr>
                      </m:dPr>
                      <m:e>
                        <m:sSup>
                          <m:sSupPr>
                            <m:ctrlPr>
                              <w:rPr>
                                <w:rFonts w:hint="default" w:ascii="DejaVu Math TeX Gyre" w:hAnsi="DejaVu Math TeX Gyre" w:cs="Times New Roman"/>
                                <w:i/>
                                <w:color w:val="auto"/>
                                <w:sz w:val="21"/>
                                <w:szCs w:val="21"/>
                                <w:highlight w:val="none"/>
                              </w:rPr>
                            </m:ctrlPr>
                          </m:sSupPr>
                          <m:e>
                            <m:nary>
                              <m:naryPr>
                                <m:chr m:val="∑"/>
                                <m:limLoc m:val="undOvr"/>
                                <m:ctrlPr>
                                  <w:rPr>
                                    <w:rFonts w:hint="default" w:ascii="DejaVu Math TeX Gyre" w:hAnsi="DejaVu Math TeX Gyre" w:cs="Times New Roman"/>
                                    <w:i/>
                                    <w:color w:val="auto"/>
                                    <w:sz w:val="21"/>
                                    <w:szCs w:val="21"/>
                                    <w:highlight w:val="none"/>
                                  </w:rPr>
                                </m:ctrlPr>
                              </m:naryPr>
                              <m:sub>
                                <m:r>
                                  <m:rPr>
                                    <m:nor/>
                                  </m:rPr>
                                  <w:rPr>
                                    <w:rFonts w:hint="default" w:ascii="DejaVu Math TeX Gyre" w:hAnsi="DejaVu Math TeX Gyre" w:cs="Times New Roman"/>
                                    <w:i/>
                                    <w:color w:val="auto"/>
                                    <w:sz w:val="21"/>
                                    <w:szCs w:val="21"/>
                                    <w:highlight w:val="none"/>
                                  </w:rPr>
                                  <m:t>i</m:t>
                                </m:r>
                                <m:r>
                                  <m:rPr>
                                    <m:nor/>
                                    <m:sty m:val="p"/>
                                  </m:rPr>
                                  <w:rPr>
                                    <w:rFonts w:hint="default" w:ascii="DejaVu Math TeX Gyre" w:hAnsi="DejaVu Math TeX Gyre" w:cs="Times New Roman"/>
                                    <w:i w:val="0"/>
                                    <w:color w:val="auto"/>
                                    <w:sz w:val="21"/>
                                    <w:szCs w:val="21"/>
                                    <w:highlight w:val="none"/>
                                  </w:rPr>
                                  <m:t>=1</m:t>
                                </m:r>
                                <m:ctrlPr>
                                  <w:rPr>
                                    <w:rFonts w:hint="default" w:ascii="DejaVu Math TeX Gyre" w:hAnsi="DejaVu Math TeX Gyre" w:cs="Times New Roman"/>
                                    <w:i/>
                                    <w:color w:val="auto"/>
                                    <w:sz w:val="21"/>
                                    <w:szCs w:val="21"/>
                                    <w:highlight w:val="none"/>
                                  </w:rPr>
                                </m:ctrlPr>
                              </m:sub>
                              <m:sup>
                                <m:r>
                                  <m:rPr>
                                    <m:nor/>
                                  </m:rPr>
                                  <w:rPr>
                                    <w:rFonts w:hint="default" w:ascii="DejaVu Math TeX Gyre" w:hAnsi="DejaVu Math TeX Gyre" w:cs="Times New Roman"/>
                                    <w:i/>
                                    <w:color w:val="auto"/>
                                    <w:sz w:val="21"/>
                                    <w:szCs w:val="21"/>
                                    <w:highlight w:val="none"/>
                                  </w:rPr>
                                  <m:t>n</m:t>
                                </m:r>
                                <m:ctrlPr>
                                  <w:rPr>
                                    <w:rFonts w:hint="default" w:ascii="DejaVu Math TeX Gyre" w:hAnsi="DejaVu Math TeX Gyre" w:cs="Times New Roman"/>
                                    <w:i/>
                                    <w:color w:val="auto"/>
                                    <w:sz w:val="21"/>
                                    <w:szCs w:val="21"/>
                                    <w:highlight w:val="none"/>
                                  </w:rPr>
                                </m:ctrlPr>
                              </m:sup>
                              <m:e>
                                <m:sSub>
                                  <m:sSubPr>
                                    <m:ctrlPr>
                                      <w:rPr>
                                        <w:rFonts w:hint="default" w:ascii="DejaVu Math TeX Gyre" w:hAnsi="DejaVu Math TeX Gyre" w:cs="Times New Roman"/>
                                        <w:i/>
                                        <w:color w:val="auto"/>
                                        <w:sz w:val="21"/>
                                        <w:szCs w:val="21"/>
                                        <w:highlight w:val="none"/>
                                      </w:rPr>
                                    </m:ctrlPr>
                                  </m:sSubPr>
                                  <m:e>
                                    <m:r>
                                      <m:rPr>
                                        <m:nor/>
                                        <m:sty m:val="p"/>
                                      </m:rPr>
                                      <w:rPr>
                                        <w:rFonts w:hint="default" w:ascii="DejaVu Math TeX Gyre" w:hAnsi="DejaVu Math TeX Gyre" w:cs="Times New Roman"/>
                                        <w:i w:val="0"/>
                                        <w:color w:val="auto"/>
                                        <w:sz w:val="21"/>
                                        <w:szCs w:val="21"/>
                                        <w:highlight w:val="none"/>
                                      </w:rPr>
                                      <m:t>(</m:t>
                                    </m:r>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ctrlPr>
                                  <w:rPr>
                                    <w:rFonts w:hint="default" w:ascii="DejaVu Math TeX Gyre" w:hAnsi="DejaVu Math TeX Gyre" w:cs="Times New Roman"/>
                                    <w:i/>
                                    <w:color w:val="auto"/>
                                    <w:sz w:val="21"/>
                                    <w:szCs w:val="21"/>
                                    <w:highlight w:val="none"/>
                                  </w:rPr>
                                </m:ctrlPr>
                              </m:e>
                            </m:nary>
                            <m:r>
                              <m:rPr>
                                <m:nor/>
                                <m:sty m:val="p"/>
                              </m:rPr>
                              <w:rPr>
                                <w:rFonts w:hint="default" w:ascii="DejaVu Math TeX Gyre" w:hAnsi="DejaVu Math TeX Gyre" w:cs="Times New Roman"/>
                                <w:i w:val="0"/>
                                <w:color w:val="auto"/>
                                <w:sz w:val="21"/>
                                <w:szCs w:val="21"/>
                                <w:highlight w:val="none"/>
                              </w:rPr>
                              <m:t>-</m:t>
                            </m:r>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m:t>
                            </m:r>
                            <m:ctrlPr>
                              <w:rPr>
                                <w:rFonts w:hint="default" w:ascii="DejaVu Math TeX Gyre" w:hAnsi="DejaVu Math TeX Gyre" w:cs="Times New Roman"/>
                                <w:i/>
                                <w:color w:val="auto"/>
                                <w:sz w:val="21"/>
                                <w:szCs w:val="21"/>
                                <w:highlight w:val="none"/>
                              </w:rPr>
                            </m:ctrlPr>
                          </m:e>
                          <m:sup>
                            <m:r>
                              <m:rPr>
                                <m:nor/>
                                <m:sty m:val="p"/>
                              </m:rPr>
                              <w:rPr>
                                <w:rFonts w:hint="default" w:ascii="DejaVu Math TeX Gyre" w:hAnsi="DejaVu Math TeX Gyre" w:cs="Times New Roman"/>
                                <w:i w:val="0"/>
                                <w:color w:val="auto"/>
                                <w:sz w:val="21"/>
                                <w:szCs w:val="21"/>
                                <w:highlight w:val="none"/>
                              </w:rPr>
                              <m:t>2</m:t>
                            </m:r>
                            <m:ctrlPr>
                              <w:rPr>
                                <w:rFonts w:hint="default" w:ascii="DejaVu Math TeX Gyre" w:hAnsi="DejaVu Math TeX Gyre" w:cs="Times New Roman"/>
                                <w:i/>
                                <w:color w:val="auto"/>
                                <w:sz w:val="21"/>
                                <w:szCs w:val="21"/>
                                <w:highlight w:val="none"/>
                              </w:rPr>
                            </m:ctrlPr>
                          </m:sup>
                        </m:sSup>
                        <m:ctrlPr>
                          <w:rPr>
                            <w:rFonts w:hint="default" w:ascii="DejaVu Math TeX Gyre" w:hAnsi="DejaVu Math TeX Gyre" w:cs="Times New Roman"/>
                            <w:i/>
                            <w:color w:val="auto"/>
                            <w:sz w:val="21"/>
                            <w:szCs w:val="21"/>
                            <w:highlight w:val="none"/>
                          </w:rPr>
                        </m:ctrlPr>
                      </m:e>
                    </m:d>
                    <m:ctrlPr>
                      <w:rPr>
                        <w:rFonts w:hint="default" w:ascii="DejaVu Math TeX Gyre" w:hAnsi="DejaVu Math TeX Gyre" w:cs="Times New Roman"/>
                        <w:i/>
                        <w:color w:val="auto"/>
                        <w:sz w:val="21"/>
                        <w:szCs w:val="21"/>
                        <w:highlight w:val="none"/>
                      </w:rPr>
                    </m:ctrlPr>
                  </m:e>
                </m:rad>
              </m:oMath>
            </m:oMathPara>
          </w:p>
        </w:tc>
        <w:tc>
          <w:tcPr>
            <w:tcW w:w="511" w:type="dxa"/>
          </w:tcPr>
          <w:p w14:paraId="0462C6A7">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p w14:paraId="3D206431">
            <w:pPr>
              <w:spacing w:after="0" w:line="360" w:lineRule="auto"/>
              <w:jc w:val="both"/>
              <w:rPr>
                <w:rFonts w:hint="default" w:ascii="Times New Roman" w:hAnsi="Times New Roman" w:cs="Times New Roman"/>
                <w:color w:val="auto"/>
                <w:sz w:val="21"/>
                <w:szCs w:val="21"/>
                <w:highlight w:val="none"/>
              </w:rPr>
            </w:pPr>
          </w:p>
        </w:tc>
      </w:tr>
    </w:tbl>
    <w:p w14:paraId="29AE1EA6">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values of the observed</w:t>
      </w:r>
      <w:r>
        <w:rPr>
          <w:rFonts w:hint="default" w:ascii="Times New Roman" w:hAnsi="Times New Roman" w:cs="Times New Roman"/>
          <w:color w:val="auto"/>
          <w:sz w:val="21"/>
          <w:szCs w:val="21"/>
          <w:highlight w:val="none"/>
        </w:rPr>
        <w:t xml:space="preserve"> value;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r>
          <m:rPr>
            <m:nor/>
            <m:sty m:val="p"/>
          </m:rPr>
          <w:rPr>
            <w:rFonts w:hint="default" w:ascii="DejaVu Math TeX Gyre" w:hAnsi="DejaVu Math TeX Gyre" w:cs="Times New Roman"/>
            <w:i w:val="0"/>
            <w:color w:val="auto"/>
            <w:sz w:val="21"/>
            <w:szCs w:val="21"/>
            <w:highlight w:val="none"/>
          </w:rPr>
          <m:t xml:space="preserve"> </m:t>
        </m:r>
      </m:oMath>
      <w:r>
        <w:rPr>
          <w:rFonts w:hint="default" w:ascii="Times New Roman" w:hAnsi="Times New Roman" w:cs="Times New Roman" w:eastAsiaTheme="minorEastAsia"/>
          <w:color w:val="auto"/>
          <w:sz w:val="21"/>
          <w:szCs w:val="21"/>
          <w:highlight w:val="none"/>
        </w:rPr>
        <w:t xml:space="preserve">are the </w:t>
      </w:r>
      <w:r>
        <w:rPr>
          <w:rStyle w:val="29"/>
          <w:rFonts w:hint="default" w:ascii="Times New Roman" w:hAnsi="Times New Roman" w:cs="Times New Roman"/>
          <w:color w:val="auto"/>
          <w:sz w:val="21"/>
          <w:szCs w:val="21"/>
          <w:highlight w:val="none"/>
        </w:rPr>
        <w:t>values of the estimated value</w:t>
      </w:r>
      <w:r>
        <w:rPr>
          <w:rFonts w:hint="default" w:ascii="Times New Roman" w:hAnsi="Times New Roman" w:cs="Times New Roman"/>
          <w:color w:val="auto"/>
          <w:sz w:val="21"/>
          <w:szCs w:val="21"/>
          <w:highlight w:val="none"/>
        </w:rPr>
        <w:t xml:space="preserv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is the number of observations.</w:t>
      </w:r>
    </w:p>
    <w:p w14:paraId="17DA9176">
      <w:pPr>
        <w:spacing w:after="0" w:line="360" w:lineRule="auto"/>
        <w:jc w:val="both"/>
        <w:rPr>
          <w:rFonts w:hint="default" w:ascii="Times New Roman" w:hAnsi="Times New Roman" w:cs="Times New Roman"/>
          <w:color w:val="auto"/>
          <w:sz w:val="24"/>
          <w:szCs w:val="24"/>
          <w:highlight w:val="none"/>
        </w:rPr>
      </w:pPr>
    </w:p>
    <w:p w14:paraId="3F69885B">
      <w:pPr>
        <w:spacing w:after="0" w:line="360" w:lineRule="auto"/>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 xml:space="preserve">2.3.2.3 </w:t>
      </w:r>
      <w:r>
        <w:rPr>
          <w:rFonts w:hint="default" w:ascii="Times New Roman" w:hAnsi="Times New Roman" w:cs="Times New Roman"/>
          <w:b/>
          <w:bCs/>
          <w:color w:val="auto"/>
          <w:sz w:val="24"/>
          <w:szCs w:val="24"/>
          <w:highlight w:val="none"/>
          <w:shd w:val="clear" w:color="auto" w:fill="FFFFFF"/>
        </w:rPr>
        <w:t>Nash-Sutcliffe Efficiency (</w:t>
      </w:r>
      <w:r>
        <w:rPr>
          <w:rFonts w:hint="default" w:ascii="Times New Roman" w:hAnsi="Times New Roman" w:cs="Times New Roman"/>
          <w:b/>
          <w:bCs/>
          <w:i/>
          <w:iCs/>
          <w:color w:val="auto"/>
          <w:sz w:val="24"/>
          <w:szCs w:val="24"/>
          <w:highlight w:val="none"/>
        </w:rPr>
        <w:t>NSE</w:t>
      </w:r>
      <w:r>
        <w:rPr>
          <w:rFonts w:hint="default" w:ascii="Times New Roman" w:hAnsi="Times New Roman" w:cs="Times New Roman"/>
          <w:b/>
          <w:bCs/>
          <w:color w:val="auto"/>
          <w:sz w:val="24"/>
          <w:szCs w:val="24"/>
          <w:highlight w:val="none"/>
        </w:rPr>
        <w:t>)</w:t>
      </w:r>
    </w:p>
    <w:p w14:paraId="6694214F">
      <w:pPr>
        <w:spacing w:after="0" w:line="360" w:lineRule="auto"/>
        <w:jc w:val="both"/>
        <w:rPr>
          <w:rFonts w:hint="default" w:ascii="Times New Roman" w:hAnsi="Times New Roman" w:cs="Times New Roman"/>
          <w:color w:val="auto"/>
          <w:sz w:val="21"/>
          <w:szCs w:val="21"/>
          <w:highlight w:val="none"/>
          <w:shd w:val="clear" w:color="auto" w:fill="FFFFFF"/>
        </w:rPr>
      </w:pPr>
      <w:r>
        <w:rPr>
          <w:rFonts w:hint="default" w:ascii="Times New Roman" w:hAnsi="Times New Roman" w:cs="Times New Roman"/>
          <w:color w:val="auto"/>
          <w:sz w:val="21"/>
          <w:szCs w:val="21"/>
          <w:highlight w:val="none"/>
          <w:shd w:val="clear" w:color="auto" w:fill="FFFFFF"/>
        </w:rPr>
        <w:t>The Nash-Sutcliffe efficiency can be used as a method to compare the performance of hydrological modeling when there are two variables. The mathematical formulation is given in Eq. (8).</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5"/>
        <w:gridCol w:w="511"/>
      </w:tblGrid>
      <w:tr w14:paraId="0D6C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05" w:type="dxa"/>
          </w:tcPr>
          <w:p w14:paraId="5BCEC19E">
            <w:pPr>
              <w:spacing w:after="0" w:line="360" w:lineRule="auto"/>
              <w:jc w:val="both"/>
              <w:rPr>
                <w:rFonts w:hint="default" w:ascii="Times New Roman" w:hAnsi="Times New Roman" w:cs="Times New Roman" w:eastAsiaTheme="minorEastAsia"/>
                <w:color w:val="auto"/>
                <w:sz w:val="24"/>
                <w:szCs w:val="24"/>
                <w:highlight w:val="none"/>
              </w:rPr>
            </w:pPr>
            <m:oMathPara>
              <m:oMath>
                <m:r>
                  <m:rPr>
                    <m:nor/>
                  </m:rPr>
                  <w:rPr>
                    <w:rFonts w:hint="default" w:ascii="DejaVu Math TeX Gyre" w:hAnsi="DejaVu Math TeX Gyre" w:cs="Times New Roman"/>
                    <w:i/>
                    <w:color w:val="auto"/>
                    <w:sz w:val="24"/>
                    <w:szCs w:val="24"/>
                    <w:highlight w:val="none"/>
                  </w:rPr>
                  <m:t>NSE</m:t>
                </m:r>
                <m:r>
                  <m:rPr>
                    <m:nor/>
                    <m:sty m:val="p"/>
                  </m:rPr>
                  <w:rPr>
                    <w:rFonts w:hint="default" w:ascii="DejaVu Math TeX Gyre" w:hAnsi="DejaVu Math TeX Gyre" w:cs="Times New Roman"/>
                    <w:i w:val="0"/>
                    <w:color w:val="auto"/>
                    <w:sz w:val="24"/>
                    <w:szCs w:val="24"/>
                    <w:highlight w:val="none"/>
                  </w:rPr>
                  <m:t>=1-</m:t>
                </m:r>
                <m:f>
                  <m:fPr>
                    <m:ctrlPr>
                      <w:rPr>
                        <w:rFonts w:hint="default" w:ascii="DejaVu Math TeX Gyre" w:hAnsi="DejaVu Math TeX Gyre" w:cs="Times New Roman"/>
                        <w:i/>
                        <w:color w:val="auto"/>
                        <w:sz w:val="24"/>
                        <w:szCs w:val="24"/>
                        <w:highlight w:val="none"/>
                      </w:rPr>
                    </m:ctrlPr>
                  </m:fPr>
                  <m:num>
                    <m:sSup>
                      <m:sSupPr>
                        <m:ctrlPr>
                          <w:rPr>
                            <w:rFonts w:hint="default" w:ascii="DejaVu Math TeX Gyre" w:hAnsi="DejaVu Math TeX Gyre" w:cs="Times New Roman"/>
                            <w:i/>
                            <w:color w:val="auto"/>
                            <w:sz w:val="24"/>
                            <w:szCs w:val="24"/>
                            <w:highlight w:val="none"/>
                          </w:rPr>
                        </m:ctrlPr>
                      </m:sSupPr>
                      <m:e>
                        <m:nary>
                          <m:naryPr>
                            <m:chr m:val="∑"/>
                            <m:limLoc m:val="undOvr"/>
                            <m:ctrlPr>
                              <w:rPr>
                                <w:rFonts w:hint="default" w:ascii="DejaVu Math TeX Gyre" w:hAnsi="DejaVu Math TeX Gyre" w:cs="Times New Roman"/>
                                <w:i/>
                                <w:color w:val="auto"/>
                                <w:sz w:val="24"/>
                                <w:szCs w:val="24"/>
                                <w:highlight w:val="none"/>
                              </w:rPr>
                            </m:ctrlPr>
                          </m:naryPr>
                          <m:sub>
                            <m:r>
                              <m:rPr>
                                <m:nor/>
                              </m:rPr>
                              <w:rPr>
                                <w:rFonts w:hint="default" w:ascii="DejaVu Math TeX Gyre" w:hAnsi="DejaVu Math TeX Gyre" w:cs="Times New Roman"/>
                                <w:i/>
                                <w:color w:val="auto"/>
                                <w:sz w:val="24"/>
                                <w:szCs w:val="24"/>
                                <w:highlight w:val="none"/>
                              </w:rPr>
                              <m:t>i</m:t>
                            </m:r>
                            <m:r>
                              <m:rPr>
                                <m:nor/>
                                <m:sty m:val="p"/>
                              </m:rPr>
                              <w:rPr>
                                <w:rFonts w:hint="default" w:ascii="DejaVu Math TeX Gyre" w:hAnsi="DejaVu Math TeX Gyre" w:cs="Times New Roman"/>
                                <w:i w:val="0"/>
                                <w:color w:val="auto"/>
                                <w:sz w:val="24"/>
                                <w:szCs w:val="24"/>
                                <w:highlight w:val="none"/>
                              </w:rPr>
                              <m:t>=1</m:t>
                            </m:r>
                            <m:ctrlPr>
                              <w:rPr>
                                <w:rFonts w:hint="default" w:ascii="DejaVu Math TeX Gyre" w:hAnsi="DejaVu Math TeX Gyre" w:cs="Times New Roman"/>
                                <w:i/>
                                <w:color w:val="auto"/>
                                <w:sz w:val="24"/>
                                <w:szCs w:val="24"/>
                                <w:highlight w:val="none"/>
                              </w:rPr>
                            </m:ctrlPr>
                          </m:sub>
                          <m:sup>
                            <m:r>
                              <m:rPr>
                                <m:nor/>
                              </m:rPr>
                              <w:rPr>
                                <w:rFonts w:hint="default" w:ascii="DejaVu Math TeX Gyre" w:hAnsi="DejaVu Math TeX Gyre" w:cs="Times New Roman"/>
                                <w:i/>
                                <w:color w:val="auto"/>
                                <w:sz w:val="24"/>
                                <w:szCs w:val="24"/>
                                <w:highlight w:val="none"/>
                              </w:rPr>
                              <m:t>n</m:t>
                            </m:r>
                            <m:ctrlPr>
                              <w:rPr>
                                <w:rFonts w:hint="default" w:ascii="DejaVu Math TeX Gyre" w:hAnsi="DejaVu Math TeX Gyre" w:cs="Times New Roman"/>
                                <w:i/>
                                <w:color w:val="auto"/>
                                <w:sz w:val="24"/>
                                <w:szCs w:val="24"/>
                                <w:highlight w:val="none"/>
                              </w:rPr>
                            </m:ctrlPr>
                          </m:sup>
                          <m:e>
                            <m:sSub>
                              <m:sSubPr>
                                <m:ctrlPr>
                                  <w:rPr>
                                    <w:rFonts w:hint="default" w:ascii="DejaVu Math TeX Gyre" w:hAnsi="DejaVu Math TeX Gyre" w:cs="Times New Roman"/>
                                    <w:i/>
                                    <w:color w:val="auto"/>
                                    <w:sz w:val="24"/>
                                    <w:szCs w:val="24"/>
                                    <w:highlight w:val="none"/>
                                  </w:rPr>
                                </m:ctrlPr>
                              </m:sSubPr>
                              <m:e>
                                <m:r>
                                  <m:rPr>
                                    <m:nor/>
                                    <m:sty m:val="p"/>
                                  </m:rPr>
                                  <w:rPr>
                                    <w:rFonts w:hint="default" w:ascii="DejaVu Math TeX Gyre" w:hAnsi="DejaVu Math TeX Gyre" w:cs="Times New Roman"/>
                                    <w:i w:val="0"/>
                                    <w:color w:val="auto"/>
                                    <w:sz w:val="24"/>
                                    <w:szCs w:val="24"/>
                                    <w:highlight w:val="none"/>
                                  </w:rPr>
                                  <m:t>(</m:t>
                                </m:r>
                                <m:r>
                                  <m:rPr>
                                    <m:nor/>
                                  </m:rPr>
                                  <w:rPr>
                                    <w:rFonts w:hint="default" w:ascii="DejaVu Math TeX Gyre" w:hAnsi="DejaVu Math TeX Gyre" w:cs="Times New Roman"/>
                                    <w:i/>
                                    <w:color w:val="auto"/>
                                    <w:sz w:val="24"/>
                                    <w:szCs w:val="24"/>
                                    <w:highlight w:val="none"/>
                                  </w:rPr>
                                  <m:t>x</m:t>
                                </m:r>
                                <m:ctrlPr>
                                  <w:rPr>
                                    <w:rFonts w:hint="default" w:ascii="DejaVu Math TeX Gyre" w:hAnsi="DejaVu Math TeX Gyre" w:cs="Times New Roman"/>
                                    <w:i/>
                                    <w:color w:val="auto"/>
                                    <w:sz w:val="24"/>
                                    <w:szCs w:val="24"/>
                                    <w:highlight w:val="none"/>
                                  </w:rPr>
                                </m:ctrlPr>
                              </m:e>
                              <m:sub>
                                <m:r>
                                  <m:rPr>
                                    <m:nor/>
                                  </m:rPr>
                                  <w:rPr>
                                    <w:rFonts w:hint="default" w:ascii="DejaVu Math TeX Gyre" w:hAnsi="DejaVu Math TeX Gyre" w:cs="Times New Roman"/>
                                    <w:i/>
                                    <w:color w:val="auto"/>
                                    <w:sz w:val="24"/>
                                    <w:szCs w:val="24"/>
                                    <w:highlight w:val="none"/>
                                  </w:rPr>
                                  <m:t>i</m:t>
                                </m:r>
                                <m:ctrlPr>
                                  <w:rPr>
                                    <w:rFonts w:hint="default" w:ascii="DejaVu Math TeX Gyre" w:hAnsi="DejaVu Math TeX Gyre" w:cs="Times New Roman"/>
                                    <w:i/>
                                    <w:color w:val="auto"/>
                                    <w:sz w:val="24"/>
                                    <w:szCs w:val="24"/>
                                    <w:highlight w:val="none"/>
                                  </w:rPr>
                                </m:ctrlPr>
                              </m:sub>
                            </m:sSub>
                            <m:ctrlPr>
                              <w:rPr>
                                <w:rFonts w:hint="default" w:ascii="DejaVu Math TeX Gyre" w:hAnsi="DejaVu Math TeX Gyre" w:cs="Times New Roman"/>
                                <w:i/>
                                <w:color w:val="auto"/>
                                <w:sz w:val="24"/>
                                <w:szCs w:val="24"/>
                                <w:highlight w:val="none"/>
                              </w:rPr>
                            </m:ctrlPr>
                          </m:e>
                        </m:nary>
                        <m:r>
                          <m:rPr>
                            <m:nor/>
                            <m:sty m:val="p"/>
                          </m:rPr>
                          <w:rPr>
                            <w:rFonts w:hint="default" w:ascii="DejaVu Math TeX Gyre" w:hAnsi="DejaVu Math TeX Gyre" w:cs="Times New Roman"/>
                            <w:i w:val="0"/>
                            <w:color w:val="auto"/>
                            <w:sz w:val="24"/>
                            <w:szCs w:val="24"/>
                            <w:highlight w:val="none"/>
                          </w:rPr>
                          <m:t>-</m:t>
                        </m:r>
                        <m:sSub>
                          <m:sSubPr>
                            <m:ctrlPr>
                              <w:rPr>
                                <w:rFonts w:hint="default" w:ascii="DejaVu Math TeX Gyre" w:hAnsi="DejaVu Math TeX Gyre" w:cs="Times New Roman"/>
                                <w:i/>
                                <w:color w:val="auto"/>
                                <w:sz w:val="24"/>
                                <w:szCs w:val="24"/>
                                <w:highlight w:val="none"/>
                              </w:rPr>
                            </m:ctrlPr>
                          </m:sSubPr>
                          <m:e>
                            <m:r>
                              <m:rPr>
                                <m:nor/>
                              </m:rPr>
                              <w:rPr>
                                <w:rFonts w:hint="default" w:ascii="DejaVu Math TeX Gyre" w:hAnsi="DejaVu Math TeX Gyre" w:cs="Times New Roman"/>
                                <w:i/>
                                <w:color w:val="auto"/>
                                <w:sz w:val="24"/>
                                <w:szCs w:val="24"/>
                                <w:highlight w:val="none"/>
                              </w:rPr>
                              <m:t>y</m:t>
                            </m:r>
                            <m:ctrlPr>
                              <w:rPr>
                                <w:rFonts w:hint="default" w:ascii="DejaVu Math TeX Gyre" w:hAnsi="DejaVu Math TeX Gyre" w:cs="Times New Roman"/>
                                <w:i/>
                                <w:color w:val="auto"/>
                                <w:sz w:val="24"/>
                                <w:szCs w:val="24"/>
                                <w:highlight w:val="none"/>
                              </w:rPr>
                            </m:ctrlPr>
                          </m:e>
                          <m:sub>
                            <m:r>
                              <m:rPr>
                                <m:nor/>
                              </m:rPr>
                              <w:rPr>
                                <w:rFonts w:hint="default" w:ascii="DejaVu Math TeX Gyre" w:hAnsi="DejaVu Math TeX Gyre" w:cs="Times New Roman"/>
                                <w:i/>
                                <w:color w:val="auto"/>
                                <w:sz w:val="24"/>
                                <w:szCs w:val="24"/>
                                <w:highlight w:val="none"/>
                              </w:rPr>
                              <m:t>i</m:t>
                            </m:r>
                            <m:ctrlPr>
                              <w:rPr>
                                <w:rFonts w:hint="default" w:ascii="DejaVu Math TeX Gyre" w:hAnsi="DejaVu Math TeX Gyre" w:cs="Times New Roman"/>
                                <w:i/>
                                <w:color w:val="auto"/>
                                <w:sz w:val="24"/>
                                <w:szCs w:val="24"/>
                                <w:highlight w:val="none"/>
                              </w:rPr>
                            </m:ctrlPr>
                          </m:sub>
                        </m:sSub>
                        <m:r>
                          <m:rPr>
                            <m:nor/>
                            <m:sty m:val="p"/>
                          </m:rPr>
                          <w:rPr>
                            <w:rFonts w:hint="default" w:ascii="DejaVu Math TeX Gyre" w:hAnsi="DejaVu Math TeX Gyre" w:cs="Times New Roman"/>
                            <w:i w:val="0"/>
                            <w:color w:val="auto"/>
                            <w:sz w:val="24"/>
                            <w:szCs w:val="24"/>
                            <w:highlight w:val="none"/>
                          </w:rPr>
                          <m:t>)</m:t>
                        </m:r>
                        <m:ctrlPr>
                          <w:rPr>
                            <w:rFonts w:hint="default" w:ascii="DejaVu Math TeX Gyre" w:hAnsi="DejaVu Math TeX Gyre" w:cs="Times New Roman"/>
                            <w:i/>
                            <w:color w:val="auto"/>
                            <w:sz w:val="24"/>
                            <w:szCs w:val="24"/>
                            <w:highlight w:val="none"/>
                          </w:rPr>
                        </m:ctrlPr>
                      </m:e>
                      <m:sup>
                        <m:r>
                          <m:rPr>
                            <m:nor/>
                            <m:sty m:val="p"/>
                          </m:rPr>
                          <w:rPr>
                            <w:rFonts w:hint="default" w:ascii="DejaVu Math TeX Gyre" w:hAnsi="DejaVu Math TeX Gyre" w:cs="Times New Roman"/>
                            <w:i w:val="0"/>
                            <w:color w:val="auto"/>
                            <w:sz w:val="24"/>
                            <w:szCs w:val="24"/>
                            <w:highlight w:val="none"/>
                          </w:rPr>
                          <m:t>2</m:t>
                        </m:r>
                        <m:ctrlPr>
                          <w:rPr>
                            <w:rFonts w:hint="default" w:ascii="DejaVu Math TeX Gyre" w:hAnsi="DejaVu Math TeX Gyre" w:cs="Times New Roman"/>
                            <w:i/>
                            <w:color w:val="auto"/>
                            <w:sz w:val="24"/>
                            <w:szCs w:val="24"/>
                            <w:highlight w:val="none"/>
                          </w:rPr>
                        </m:ctrlPr>
                      </m:sup>
                    </m:sSup>
                    <m:ctrlPr>
                      <w:rPr>
                        <w:rFonts w:hint="default" w:ascii="DejaVu Math TeX Gyre" w:hAnsi="DejaVu Math TeX Gyre" w:cs="Times New Roman"/>
                        <w:i/>
                        <w:color w:val="auto"/>
                        <w:sz w:val="24"/>
                        <w:szCs w:val="24"/>
                        <w:highlight w:val="none"/>
                      </w:rPr>
                    </m:ctrlPr>
                  </m:num>
                  <m:den>
                    <m:sSup>
                      <m:sSupPr>
                        <m:ctrlPr>
                          <w:rPr>
                            <w:rFonts w:hint="default" w:ascii="DejaVu Math TeX Gyre" w:hAnsi="DejaVu Math TeX Gyre" w:cs="Times New Roman"/>
                            <w:i/>
                            <w:color w:val="auto"/>
                            <w:sz w:val="24"/>
                            <w:szCs w:val="24"/>
                            <w:highlight w:val="none"/>
                          </w:rPr>
                        </m:ctrlPr>
                      </m:sSupPr>
                      <m:e>
                        <m:nary>
                          <m:naryPr>
                            <m:chr m:val="∑"/>
                            <m:limLoc m:val="undOvr"/>
                            <m:ctrlPr>
                              <w:rPr>
                                <w:rFonts w:hint="default" w:ascii="DejaVu Math TeX Gyre" w:hAnsi="DejaVu Math TeX Gyre" w:cs="Times New Roman"/>
                                <w:i/>
                                <w:color w:val="auto"/>
                                <w:sz w:val="24"/>
                                <w:szCs w:val="24"/>
                                <w:highlight w:val="none"/>
                              </w:rPr>
                            </m:ctrlPr>
                          </m:naryPr>
                          <m:sub>
                            <m:r>
                              <m:rPr>
                                <m:nor/>
                              </m:rPr>
                              <w:rPr>
                                <w:rFonts w:hint="default" w:ascii="DejaVu Math TeX Gyre" w:hAnsi="DejaVu Math TeX Gyre" w:cs="Times New Roman"/>
                                <w:i/>
                                <w:color w:val="auto"/>
                                <w:sz w:val="24"/>
                                <w:szCs w:val="24"/>
                                <w:highlight w:val="none"/>
                              </w:rPr>
                              <m:t>i</m:t>
                            </m:r>
                            <m:r>
                              <m:rPr>
                                <m:nor/>
                                <m:sty m:val="p"/>
                              </m:rPr>
                              <w:rPr>
                                <w:rFonts w:hint="default" w:ascii="DejaVu Math TeX Gyre" w:hAnsi="DejaVu Math TeX Gyre" w:cs="Times New Roman"/>
                                <w:i w:val="0"/>
                                <w:color w:val="auto"/>
                                <w:sz w:val="24"/>
                                <w:szCs w:val="24"/>
                                <w:highlight w:val="none"/>
                              </w:rPr>
                              <m:t>=1</m:t>
                            </m:r>
                            <m:ctrlPr>
                              <w:rPr>
                                <w:rFonts w:hint="default" w:ascii="DejaVu Math TeX Gyre" w:hAnsi="DejaVu Math TeX Gyre" w:cs="Times New Roman"/>
                                <w:i/>
                                <w:color w:val="auto"/>
                                <w:sz w:val="24"/>
                                <w:szCs w:val="24"/>
                                <w:highlight w:val="none"/>
                              </w:rPr>
                            </m:ctrlPr>
                          </m:sub>
                          <m:sup>
                            <m:r>
                              <m:rPr>
                                <m:nor/>
                              </m:rPr>
                              <w:rPr>
                                <w:rFonts w:hint="default" w:ascii="DejaVu Math TeX Gyre" w:hAnsi="DejaVu Math TeX Gyre" w:cs="Times New Roman"/>
                                <w:i/>
                                <w:color w:val="auto"/>
                                <w:sz w:val="24"/>
                                <w:szCs w:val="24"/>
                                <w:highlight w:val="none"/>
                              </w:rPr>
                              <m:t>n</m:t>
                            </m:r>
                            <m:ctrlPr>
                              <w:rPr>
                                <w:rFonts w:hint="default" w:ascii="DejaVu Math TeX Gyre" w:hAnsi="DejaVu Math TeX Gyre" w:cs="Times New Roman"/>
                                <w:i/>
                                <w:color w:val="auto"/>
                                <w:sz w:val="24"/>
                                <w:szCs w:val="24"/>
                                <w:highlight w:val="none"/>
                              </w:rPr>
                            </m:ctrlPr>
                          </m:sup>
                          <m:e>
                            <m:sSub>
                              <m:sSubPr>
                                <m:ctrlPr>
                                  <w:rPr>
                                    <w:rFonts w:hint="default" w:ascii="DejaVu Math TeX Gyre" w:hAnsi="DejaVu Math TeX Gyre" w:cs="Times New Roman"/>
                                    <w:i/>
                                    <w:color w:val="auto"/>
                                    <w:sz w:val="24"/>
                                    <w:szCs w:val="24"/>
                                    <w:highlight w:val="none"/>
                                  </w:rPr>
                                </m:ctrlPr>
                              </m:sSubPr>
                              <m:e>
                                <m:r>
                                  <m:rPr>
                                    <m:nor/>
                                    <m:sty m:val="p"/>
                                  </m:rPr>
                                  <w:rPr>
                                    <w:rFonts w:hint="default" w:ascii="DejaVu Math TeX Gyre" w:hAnsi="DejaVu Math TeX Gyre" w:cs="Times New Roman"/>
                                    <w:i w:val="0"/>
                                    <w:color w:val="auto"/>
                                    <w:sz w:val="24"/>
                                    <w:szCs w:val="24"/>
                                    <w:highlight w:val="none"/>
                                  </w:rPr>
                                  <m:t>(</m:t>
                                </m:r>
                                <m:r>
                                  <m:rPr>
                                    <m:nor/>
                                  </m:rPr>
                                  <w:rPr>
                                    <w:rFonts w:hint="default" w:ascii="DejaVu Math TeX Gyre" w:hAnsi="DejaVu Math TeX Gyre" w:cs="Times New Roman"/>
                                    <w:i/>
                                    <w:color w:val="auto"/>
                                    <w:sz w:val="24"/>
                                    <w:szCs w:val="24"/>
                                    <w:highlight w:val="none"/>
                                  </w:rPr>
                                  <m:t>x</m:t>
                                </m:r>
                                <m:ctrlPr>
                                  <w:rPr>
                                    <w:rFonts w:hint="default" w:ascii="DejaVu Math TeX Gyre" w:hAnsi="DejaVu Math TeX Gyre" w:cs="Times New Roman"/>
                                    <w:i/>
                                    <w:color w:val="auto"/>
                                    <w:sz w:val="24"/>
                                    <w:szCs w:val="24"/>
                                    <w:highlight w:val="none"/>
                                  </w:rPr>
                                </m:ctrlPr>
                              </m:e>
                              <m:sub>
                                <m:r>
                                  <m:rPr>
                                    <m:nor/>
                                  </m:rPr>
                                  <w:rPr>
                                    <w:rFonts w:hint="default" w:ascii="DejaVu Math TeX Gyre" w:hAnsi="DejaVu Math TeX Gyre" w:cs="Times New Roman"/>
                                    <w:i/>
                                    <w:color w:val="auto"/>
                                    <w:sz w:val="24"/>
                                    <w:szCs w:val="24"/>
                                    <w:highlight w:val="none"/>
                                  </w:rPr>
                                  <m:t>i</m:t>
                                </m:r>
                                <m:ctrlPr>
                                  <w:rPr>
                                    <w:rFonts w:hint="default" w:ascii="DejaVu Math TeX Gyre" w:hAnsi="DejaVu Math TeX Gyre" w:cs="Times New Roman"/>
                                    <w:i/>
                                    <w:color w:val="auto"/>
                                    <w:sz w:val="24"/>
                                    <w:szCs w:val="24"/>
                                    <w:highlight w:val="none"/>
                                  </w:rPr>
                                </m:ctrlPr>
                              </m:sub>
                            </m:sSub>
                            <m:ctrlPr>
                              <w:rPr>
                                <w:rFonts w:hint="default" w:ascii="DejaVu Math TeX Gyre" w:hAnsi="DejaVu Math TeX Gyre" w:cs="Times New Roman"/>
                                <w:i/>
                                <w:color w:val="auto"/>
                                <w:sz w:val="24"/>
                                <w:szCs w:val="24"/>
                                <w:highlight w:val="none"/>
                              </w:rPr>
                            </m:ctrlPr>
                          </m:e>
                        </m:nary>
                        <m:r>
                          <m:rPr>
                            <m:nor/>
                            <m:sty m:val="p"/>
                          </m:rPr>
                          <w:rPr>
                            <w:rFonts w:hint="default" w:ascii="DejaVu Math TeX Gyre" w:hAnsi="DejaVu Math TeX Gyre" w:cs="Times New Roman"/>
                            <w:i w:val="0"/>
                            <w:color w:val="auto"/>
                            <w:sz w:val="24"/>
                            <w:szCs w:val="24"/>
                            <w:highlight w:val="none"/>
                          </w:rPr>
                          <m:t>-</m:t>
                        </m:r>
                        <m:acc>
                          <m:accPr>
                            <m:chr m:val="̅"/>
                            <m:ctrlPr>
                              <w:rPr>
                                <w:rFonts w:hint="default" w:ascii="DejaVu Math TeX Gyre" w:hAnsi="DejaVu Math TeX Gyre" w:cs="Times New Roman"/>
                                <w:i/>
                                <w:color w:val="auto"/>
                                <w:sz w:val="24"/>
                                <w:szCs w:val="24"/>
                                <w:highlight w:val="none"/>
                              </w:rPr>
                            </m:ctrlPr>
                          </m:accPr>
                          <m:e>
                            <m:r>
                              <m:rPr>
                                <m:nor/>
                              </m:rPr>
                              <w:rPr>
                                <w:rFonts w:hint="default" w:ascii="DejaVu Math TeX Gyre" w:hAnsi="DejaVu Math TeX Gyre" w:cs="Times New Roman"/>
                                <w:i/>
                                <w:color w:val="auto"/>
                                <w:sz w:val="24"/>
                                <w:szCs w:val="24"/>
                                <w:highlight w:val="none"/>
                              </w:rPr>
                              <m:t>x</m:t>
                            </m:r>
                            <m:ctrlPr>
                              <w:rPr>
                                <w:rFonts w:hint="default" w:ascii="DejaVu Math TeX Gyre" w:hAnsi="DejaVu Math TeX Gyre" w:cs="Times New Roman"/>
                                <w:i/>
                                <w:color w:val="auto"/>
                                <w:sz w:val="24"/>
                                <w:szCs w:val="24"/>
                                <w:highlight w:val="none"/>
                              </w:rPr>
                            </m:ctrlPr>
                          </m:e>
                        </m:acc>
                        <m:r>
                          <m:rPr>
                            <m:nor/>
                            <m:sty m:val="p"/>
                          </m:rPr>
                          <w:rPr>
                            <w:rFonts w:hint="default" w:ascii="DejaVu Math TeX Gyre" w:hAnsi="DejaVu Math TeX Gyre" w:cs="Times New Roman"/>
                            <w:i w:val="0"/>
                            <w:color w:val="auto"/>
                            <w:sz w:val="24"/>
                            <w:szCs w:val="24"/>
                            <w:highlight w:val="none"/>
                          </w:rPr>
                          <m:t>)</m:t>
                        </m:r>
                        <m:ctrlPr>
                          <w:rPr>
                            <w:rFonts w:hint="default" w:ascii="DejaVu Math TeX Gyre" w:hAnsi="DejaVu Math TeX Gyre" w:cs="Times New Roman"/>
                            <w:i/>
                            <w:color w:val="auto"/>
                            <w:sz w:val="24"/>
                            <w:szCs w:val="24"/>
                            <w:highlight w:val="none"/>
                          </w:rPr>
                        </m:ctrlPr>
                      </m:e>
                      <m:sup>
                        <m:r>
                          <m:rPr>
                            <m:nor/>
                            <m:sty m:val="p"/>
                          </m:rPr>
                          <w:rPr>
                            <w:rFonts w:hint="default" w:ascii="DejaVu Math TeX Gyre" w:hAnsi="DejaVu Math TeX Gyre" w:cs="Times New Roman"/>
                            <w:i w:val="0"/>
                            <w:color w:val="auto"/>
                            <w:sz w:val="24"/>
                            <w:szCs w:val="24"/>
                            <w:highlight w:val="none"/>
                          </w:rPr>
                          <m:t>2</m:t>
                        </m:r>
                        <m:ctrlPr>
                          <w:rPr>
                            <w:rFonts w:hint="default" w:ascii="DejaVu Math TeX Gyre" w:hAnsi="DejaVu Math TeX Gyre" w:cs="Times New Roman"/>
                            <w:i/>
                            <w:color w:val="auto"/>
                            <w:sz w:val="24"/>
                            <w:szCs w:val="24"/>
                            <w:highlight w:val="none"/>
                          </w:rPr>
                        </m:ctrlPr>
                      </m:sup>
                    </m:sSup>
                    <m:ctrlPr>
                      <w:rPr>
                        <w:rFonts w:hint="default" w:ascii="DejaVu Math TeX Gyre" w:hAnsi="DejaVu Math TeX Gyre" w:cs="Times New Roman"/>
                        <w:i/>
                        <w:color w:val="auto"/>
                        <w:sz w:val="24"/>
                        <w:szCs w:val="24"/>
                        <w:highlight w:val="none"/>
                      </w:rPr>
                    </m:ctrlPr>
                  </m:den>
                </m:f>
              </m:oMath>
            </m:oMathPara>
          </w:p>
        </w:tc>
        <w:tc>
          <w:tcPr>
            <w:tcW w:w="511" w:type="dxa"/>
          </w:tcPr>
          <w:p w14:paraId="0C3B0B96">
            <w:pPr>
              <w:spacing w:after="0" w:line="360" w:lineRule="auto"/>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(8)</w:t>
            </w:r>
          </w:p>
          <w:p w14:paraId="1EE68AED">
            <w:pPr>
              <w:spacing w:after="0" w:line="360" w:lineRule="auto"/>
              <w:jc w:val="both"/>
              <w:rPr>
                <w:rFonts w:hint="default" w:ascii="Times New Roman" w:hAnsi="Times New Roman" w:cs="Times New Roman"/>
                <w:color w:val="auto"/>
                <w:sz w:val="24"/>
                <w:szCs w:val="24"/>
                <w:highlight w:val="none"/>
                <w:shd w:val="clear" w:color="auto" w:fill="FFFFFF"/>
              </w:rPr>
            </w:pPr>
          </w:p>
        </w:tc>
      </w:tr>
    </w:tbl>
    <w:p w14:paraId="50382998">
      <w:pPr>
        <w:spacing w:after="0" w:line="360" w:lineRule="auto"/>
        <w:jc w:val="both"/>
        <w:rPr>
          <w:rFonts w:hint="default" w:ascii="Times New Roman" w:hAnsi="Times New Roman" w:cs="Times New Roman"/>
          <w:color w:val="auto"/>
          <w:sz w:val="24"/>
          <w:szCs w:val="24"/>
          <w:highlight w:val="none"/>
        </w:rPr>
      </w:pPr>
    </w:p>
    <w:p w14:paraId="4DCA5683">
      <w:pPr>
        <w:spacing w:after="0" w:line="360" w:lineRule="auto"/>
        <w:jc w:val="both"/>
        <w:rPr>
          <w:rStyle w:val="29"/>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where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values of the observed data; </w:t>
      </w:r>
      <m:oMath>
        <m:acc>
          <m:accPr>
            <m:chr m:val="̅"/>
            <m:ctrlPr>
              <w:rPr>
                <w:rFonts w:hint="default" w:ascii="DejaVu Math TeX Gyre" w:hAnsi="DejaVu Math TeX Gyre" w:cs="Times New Roman"/>
                <w:i/>
                <w:color w:val="auto"/>
                <w:sz w:val="21"/>
                <w:szCs w:val="21"/>
                <w:highlight w:val="none"/>
              </w:rPr>
            </m:ctrlPr>
          </m:accPr>
          <m:e>
            <m:r>
              <m:rPr>
                <m:nor/>
              </m:rPr>
              <w:rPr>
                <w:rFonts w:hint="default" w:ascii="DejaVu Math TeX Gyre" w:hAnsi="DejaVu Math TeX Gyre" w:cs="Times New Roman"/>
                <w:i/>
                <w:color w:val="auto"/>
                <w:sz w:val="21"/>
                <w:szCs w:val="21"/>
                <w:highlight w:val="none"/>
              </w:rPr>
              <m:t>x</m:t>
            </m:r>
            <m:ctrlPr>
              <w:rPr>
                <w:rFonts w:hint="default" w:ascii="DejaVu Math TeX Gyre" w:hAnsi="DejaVu Math TeX Gyre" w:cs="Times New Roman"/>
                <w:i/>
                <w:color w:val="auto"/>
                <w:sz w:val="21"/>
                <w:szCs w:val="21"/>
                <w:highlight w:val="none"/>
              </w:rPr>
            </m:ctrlPr>
          </m:e>
        </m:acc>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mean of the values of the observed data;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y</m:t>
            </m:r>
            <m:ctrlPr>
              <w:rPr>
                <w:rFonts w:hint="default" w:ascii="DejaVu Math TeX Gyre" w:hAnsi="DejaVu Math TeX Gyre" w:cs="Times New Roman"/>
                <w:i/>
                <w:color w:val="auto"/>
                <w:sz w:val="21"/>
                <w:szCs w:val="21"/>
                <w:highlight w:val="none"/>
              </w:rPr>
            </m:ctrlPr>
          </m:e>
          <m:sub>
            <m:r>
              <m:rPr>
                <m:nor/>
              </m:rPr>
              <w:rPr>
                <w:rFonts w:hint="default" w:ascii="DejaVu Math TeX Gyre" w:hAnsi="DejaVu Math TeX Gyre" w:cs="Times New Roman"/>
                <w:i/>
                <w:color w:val="auto"/>
                <w:sz w:val="21"/>
                <w:szCs w:val="21"/>
                <w:highlight w:val="none"/>
              </w:rPr>
              <m:t>i</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are the </w:t>
      </w:r>
      <w:r>
        <w:rPr>
          <w:rStyle w:val="29"/>
          <w:rFonts w:hint="default" w:ascii="Times New Roman" w:hAnsi="Times New Roman" w:cs="Times New Roman"/>
          <w:color w:val="auto"/>
          <w:sz w:val="21"/>
          <w:szCs w:val="21"/>
          <w:highlight w:val="none"/>
        </w:rPr>
        <w:t xml:space="preserve">values of the estimated data in </w:t>
      </w:r>
      <m:oMath>
        <m:r>
          <m:rPr>
            <m:nor/>
          </m:rPr>
          <w:rPr>
            <w:rStyle w:val="29"/>
            <w:rFonts w:hint="default" w:ascii="DejaVu Math TeX Gyre" w:hAnsi="DejaVu Math TeX Gyre" w:cs="Times New Roman"/>
            <w:i/>
            <w:color w:val="auto"/>
            <w:sz w:val="21"/>
            <w:szCs w:val="21"/>
            <w:highlight w:val="none"/>
          </w:rPr>
          <m:t>n</m:t>
        </m:r>
      </m:oMath>
      <w:r>
        <w:rPr>
          <w:rStyle w:val="29"/>
          <w:rFonts w:hint="default" w:ascii="Times New Roman" w:hAnsi="Times New Roman" w:cs="Times New Roman"/>
          <w:color w:val="auto"/>
          <w:sz w:val="21"/>
          <w:szCs w:val="21"/>
          <w:highlight w:val="none"/>
        </w:rPr>
        <w:t xml:space="preserve"> number of observations. </w:t>
      </w:r>
    </w:p>
    <w:p w14:paraId="6902F18F">
      <w:pPr>
        <w:spacing w:after="0" w:line="360" w:lineRule="auto"/>
        <w:jc w:val="both"/>
        <w:rPr>
          <w:rStyle w:val="29"/>
          <w:rFonts w:hint="default" w:ascii="Times New Roman" w:hAnsi="Times New Roman" w:cs="Times New Roman"/>
          <w:color w:val="auto"/>
          <w:sz w:val="21"/>
          <w:szCs w:val="21"/>
          <w:highlight w:val="none"/>
        </w:rPr>
      </w:pPr>
      <w:r>
        <w:rPr>
          <w:rStyle w:val="29"/>
          <w:rFonts w:hint="default" w:ascii="Times New Roman" w:hAnsi="Times New Roman" w:cs="Times New Roman"/>
          <w:color w:val="auto"/>
          <w:sz w:val="21"/>
          <w:szCs w:val="21"/>
          <w:highlight w:val="none"/>
        </w:rPr>
        <w:t>The recommended ranges of the different performance indices that are frequently used in practice are given in Table 1.</w:t>
      </w:r>
    </w:p>
    <w:p w14:paraId="30F9F3CF">
      <w:pPr>
        <w:pStyle w:val="2"/>
        <w:rPr>
          <w:rFonts w:hint="default" w:ascii="Times New Roman" w:hAnsi="Times New Roman" w:cs="Times New Roman"/>
          <w:color w:val="auto"/>
          <w:highlight w:val="none"/>
        </w:rPr>
      </w:pPr>
    </w:p>
    <w:p w14:paraId="19AFC9E8">
      <w:pPr>
        <w:spacing w:after="0" w:line="360" w:lineRule="auto"/>
        <w:jc w:val="center"/>
        <w:rPr>
          <w:rStyle w:val="29"/>
          <w:rFonts w:hint="default" w:ascii="Times New Roman" w:hAnsi="Times New Roman" w:cs="Times New Roman"/>
          <w:color w:val="auto"/>
          <w:sz w:val="18"/>
          <w:szCs w:val="18"/>
          <w:highlight w:val="none"/>
          <w:vertAlign w:val="superscript"/>
        </w:rPr>
      </w:pPr>
      <w:r>
        <w:rPr>
          <w:rStyle w:val="29"/>
          <w:rFonts w:hint="default" w:ascii="Times New Roman" w:hAnsi="Times New Roman" w:cs="Times New Roman"/>
          <w:color w:val="auto"/>
          <w:sz w:val="18"/>
          <w:szCs w:val="18"/>
          <w:highlight w:val="none"/>
        </w:rPr>
        <w:t>Table 1</w:t>
      </w:r>
      <w:r>
        <w:rPr>
          <w:rStyle w:val="29"/>
          <w:rFonts w:hint="default" w:ascii="Times New Roman" w:hAnsi="Times New Roman" w:cs="Times New Roman"/>
          <w:color w:val="auto"/>
          <w:sz w:val="18"/>
          <w:szCs w:val="18"/>
          <w:highlight w:val="none"/>
          <w:lang w:val="en-US" w:eastAsia="zh-CN"/>
        </w:rPr>
        <w:t xml:space="preserve"> </w:t>
      </w:r>
      <w:r>
        <w:rPr>
          <w:rStyle w:val="29"/>
          <w:rFonts w:hint="default" w:ascii="Times New Roman" w:hAnsi="Times New Roman" w:cs="Times New Roman"/>
          <w:color w:val="auto"/>
          <w:sz w:val="18"/>
          <w:szCs w:val="18"/>
          <w:highlight w:val="none"/>
        </w:rPr>
        <w:t xml:space="preserve"> Recommended ranges of different performance indices</w:t>
      </w:r>
      <w:r>
        <w:rPr>
          <w:rStyle w:val="29"/>
          <w:rFonts w:hint="default" w:ascii="Times New Roman" w:hAnsi="Times New Roman" w:cs="Times New Roman"/>
          <w:color w:val="auto"/>
          <w:sz w:val="18"/>
          <w:szCs w:val="18"/>
          <w:highlight w:val="none"/>
          <w:vertAlign w:val="superscript"/>
        </w:rPr>
        <w:t xml:space="preserve"> </w:t>
      </w:r>
      <w:r>
        <w:rPr>
          <w:rStyle w:val="29"/>
          <w:rFonts w:hint="default" w:ascii="Times New Roman" w:hAnsi="Times New Roman" w:cs="Times New Roman"/>
          <w:color w:val="auto"/>
          <w:sz w:val="18"/>
          <w:szCs w:val="18"/>
          <w:highlight w:val="none"/>
          <w:vertAlign w:val="superscript"/>
        </w:rPr>
        <w:t>[30]</w:t>
      </w:r>
    </w:p>
    <w:p w14:paraId="368B827D">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表1</w:t>
      </w:r>
      <w:r>
        <w:rPr>
          <w:rFonts w:hint="default" w:ascii="Times New Roman" w:hAnsi="Times New Roman" w:eastAsia="宋体" w:cs="Times New Roman"/>
          <w:b/>
          <w:bCs/>
          <w:color w:val="auto"/>
          <w:sz w:val="18"/>
          <w:szCs w:val="18"/>
          <w:highlight w:val="none"/>
          <w:lang w:val="en-US"/>
        </w:rPr>
        <w:t xml:space="preserve"> </w:t>
      </w:r>
      <w:r>
        <w:rPr>
          <w:rFonts w:hint="default" w:ascii="Times New Roman" w:hAnsi="Times New Roman" w:eastAsia="宋体" w:cs="Times New Roman"/>
          <w:b/>
          <w:bCs/>
          <w:color w:val="auto"/>
          <w:sz w:val="18"/>
          <w:szCs w:val="18"/>
          <w:highlight w:val="none"/>
        </w:rPr>
        <w:t xml:space="preserve"> 不同性能指标的推荐范围</w:t>
      </w:r>
      <w:r>
        <w:rPr>
          <w:rFonts w:hint="default" w:ascii="Times New Roman" w:hAnsi="Times New Roman" w:eastAsia="宋体" w:cs="Times New Roman"/>
          <w:b/>
          <w:bCs/>
          <w:color w:val="auto"/>
          <w:sz w:val="18"/>
          <w:szCs w:val="18"/>
          <w:highlight w:val="none"/>
          <w:vertAlign w:val="superscript"/>
        </w:rPr>
        <w:t>[30]</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2254"/>
        <w:gridCol w:w="2254"/>
        <w:gridCol w:w="2254"/>
      </w:tblGrid>
      <w:tr w14:paraId="1DC5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4" w:type="dxa"/>
            <w:vAlign w:val="center"/>
          </w:tcPr>
          <w:p w14:paraId="07E17A5D">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Performance rating</w:t>
            </w:r>
          </w:p>
        </w:tc>
        <w:tc>
          <w:tcPr>
            <w:tcW w:w="2254" w:type="dxa"/>
            <w:vAlign w:val="center"/>
          </w:tcPr>
          <w:p w14:paraId="701FF449">
            <w:pPr>
              <w:spacing w:after="0" w:line="360" w:lineRule="auto"/>
              <w:jc w:val="both"/>
              <w:rPr>
                <w:rStyle w:val="29"/>
                <w:rFonts w:hint="default" w:ascii="Times New Roman" w:hAnsi="Times New Roman" w:cs="Times New Roman"/>
                <w:color w:val="auto"/>
                <w:sz w:val="15"/>
                <w:szCs w:val="15"/>
                <w:highlight w:val="none"/>
              </w:rPr>
            </w:pPr>
            <m:oMathPara>
              <m:oMath>
                <m:r>
                  <m:rPr>
                    <m:nor/>
                  </m:rPr>
                  <w:rPr>
                    <w:rFonts w:hint="default" w:ascii="DejaVu Math TeX Gyre" w:hAnsi="DejaVu Math TeX Gyre" w:cs="Times New Roman"/>
                    <w:i/>
                    <w:color w:val="auto"/>
                    <w:sz w:val="15"/>
                    <w:szCs w:val="15"/>
                    <w:highlight w:val="none"/>
                  </w:rPr>
                  <m:t>r</m:t>
                </m:r>
              </m:oMath>
            </m:oMathPara>
          </w:p>
        </w:tc>
        <w:tc>
          <w:tcPr>
            <w:tcW w:w="2254" w:type="dxa"/>
            <w:vAlign w:val="center"/>
          </w:tcPr>
          <w:p w14:paraId="14EB7EB2">
            <w:pPr>
              <w:spacing w:after="0" w:line="360" w:lineRule="auto"/>
              <w:jc w:val="both"/>
              <w:rPr>
                <w:rStyle w:val="29"/>
                <w:rFonts w:hint="default" w:ascii="Times New Roman" w:hAnsi="Times New Roman" w:cs="Times New Roman"/>
                <w:color w:val="auto"/>
                <w:sz w:val="15"/>
                <w:szCs w:val="15"/>
                <w:highlight w:val="none"/>
              </w:rPr>
            </w:pPr>
            <m:oMathPara>
              <m:oMath>
                <m:r>
                  <m:rPr>
                    <m:nor/>
                  </m:rPr>
                  <w:rPr>
                    <w:rFonts w:hint="default" w:ascii="DejaVu Math TeX Gyre" w:hAnsi="DejaVu Math TeX Gyre" w:cs="Times New Roman"/>
                    <w:i/>
                    <w:color w:val="auto"/>
                    <w:sz w:val="15"/>
                    <w:szCs w:val="15"/>
                    <w:highlight w:val="none"/>
                  </w:rPr>
                  <m:t>NSE</m:t>
                </m:r>
              </m:oMath>
            </m:oMathPara>
          </w:p>
        </w:tc>
        <w:tc>
          <w:tcPr>
            <w:tcW w:w="2254" w:type="dxa"/>
            <w:vAlign w:val="center"/>
          </w:tcPr>
          <w:p w14:paraId="296834FA">
            <w:pPr>
              <w:spacing w:after="0" w:line="360" w:lineRule="auto"/>
              <w:jc w:val="both"/>
              <w:rPr>
                <w:rStyle w:val="29"/>
                <w:rFonts w:hint="default" w:ascii="Times New Roman" w:hAnsi="Times New Roman" w:cs="Times New Roman"/>
                <w:color w:val="auto"/>
                <w:sz w:val="15"/>
                <w:szCs w:val="15"/>
                <w:highlight w:val="none"/>
              </w:rPr>
            </w:pPr>
            <m:oMathPara>
              <m:oMath>
                <m:r>
                  <m:rPr>
                    <m:nor/>
                  </m:rPr>
                  <w:rPr>
                    <w:rFonts w:hint="default" w:ascii="DejaVu Math TeX Gyre" w:hAnsi="DejaVu Math TeX Gyre" w:cs="Times New Roman"/>
                    <w:i/>
                    <w:color w:val="auto"/>
                    <w:sz w:val="15"/>
                    <w:szCs w:val="15"/>
                    <w:highlight w:val="none"/>
                  </w:rPr>
                  <m:t>RMSE</m:t>
                </m:r>
              </m:oMath>
            </m:oMathPara>
          </w:p>
        </w:tc>
      </w:tr>
      <w:tr w14:paraId="08BC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4" w:type="dxa"/>
            <w:vAlign w:val="center"/>
          </w:tcPr>
          <w:p w14:paraId="3014F97E">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Very Good</w:t>
            </w:r>
          </w:p>
        </w:tc>
        <w:tc>
          <w:tcPr>
            <w:tcW w:w="2254" w:type="dxa"/>
            <w:vAlign w:val="center"/>
          </w:tcPr>
          <w:p w14:paraId="2FB42274">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0.8-1</w:t>
            </w:r>
          </w:p>
        </w:tc>
        <w:tc>
          <w:tcPr>
            <w:tcW w:w="2254" w:type="dxa"/>
            <w:vAlign w:val="center"/>
          </w:tcPr>
          <w:p w14:paraId="2C9A8127">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0.75-1</w:t>
            </w:r>
          </w:p>
        </w:tc>
        <w:tc>
          <w:tcPr>
            <w:tcW w:w="2254" w:type="dxa"/>
            <w:vAlign w:val="center"/>
          </w:tcPr>
          <w:p w14:paraId="3E5973CF">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&lt;0.05</w:t>
            </w:r>
          </w:p>
        </w:tc>
      </w:tr>
      <w:tr w14:paraId="6461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4" w:type="dxa"/>
            <w:vAlign w:val="center"/>
          </w:tcPr>
          <w:p w14:paraId="47602922">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Good</w:t>
            </w:r>
          </w:p>
        </w:tc>
        <w:tc>
          <w:tcPr>
            <w:tcW w:w="2254" w:type="dxa"/>
            <w:vAlign w:val="center"/>
          </w:tcPr>
          <w:p w14:paraId="4F16DD09">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0.6-0.8</w:t>
            </w:r>
          </w:p>
        </w:tc>
        <w:tc>
          <w:tcPr>
            <w:tcW w:w="2254" w:type="dxa"/>
            <w:vAlign w:val="center"/>
          </w:tcPr>
          <w:p w14:paraId="3B2A7A63">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0.65-0.75</w:t>
            </w:r>
          </w:p>
        </w:tc>
        <w:tc>
          <w:tcPr>
            <w:tcW w:w="2254" w:type="dxa"/>
            <w:vAlign w:val="center"/>
          </w:tcPr>
          <w:p w14:paraId="67A5F2D1">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0.05-0.1</w:t>
            </w:r>
          </w:p>
        </w:tc>
      </w:tr>
      <w:tr w14:paraId="1C50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54" w:type="dxa"/>
            <w:vAlign w:val="center"/>
          </w:tcPr>
          <w:p w14:paraId="7E30537B">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Satisfactory</w:t>
            </w:r>
          </w:p>
        </w:tc>
        <w:tc>
          <w:tcPr>
            <w:tcW w:w="2254" w:type="dxa"/>
            <w:vAlign w:val="center"/>
          </w:tcPr>
          <w:p w14:paraId="1EFF8C13">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0.4-0.6</w:t>
            </w:r>
          </w:p>
        </w:tc>
        <w:tc>
          <w:tcPr>
            <w:tcW w:w="2254" w:type="dxa"/>
            <w:vAlign w:val="center"/>
          </w:tcPr>
          <w:p w14:paraId="4CAD6814">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0.5-0.65</w:t>
            </w:r>
          </w:p>
        </w:tc>
        <w:tc>
          <w:tcPr>
            <w:tcW w:w="2254" w:type="dxa"/>
            <w:vAlign w:val="center"/>
          </w:tcPr>
          <w:p w14:paraId="337EA36E">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0.1-0.2</w:t>
            </w:r>
          </w:p>
        </w:tc>
      </w:tr>
      <w:tr w14:paraId="34A0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4" w:type="dxa"/>
            <w:vAlign w:val="center"/>
          </w:tcPr>
          <w:p w14:paraId="55DDCCAF">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Unsatisfactory</w:t>
            </w:r>
          </w:p>
        </w:tc>
        <w:tc>
          <w:tcPr>
            <w:tcW w:w="2254" w:type="dxa"/>
            <w:vAlign w:val="center"/>
          </w:tcPr>
          <w:p w14:paraId="39022F6A">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&lt;0.4</w:t>
            </w:r>
          </w:p>
        </w:tc>
        <w:tc>
          <w:tcPr>
            <w:tcW w:w="2254" w:type="dxa"/>
            <w:vAlign w:val="center"/>
          </w:tcPr>
          <w:p w14:paraId="23E1C72F">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&lt;0.5</w:t>
            </w:r>
          </w:p>
        </w:tc>
        <w:tc>
          <w:tcPr>
            <w:tcW w:w="2254" w:type="dxa"/>
            <w:vAlign w:val="center"/>
          </w:tcPr>
          <w:p w14:paraId="27A3091A">
            <w:pPr>
              <w:spacing w:after="0" w:line="360" w:lineRule="auto"/>
              <w:jc w:val="both"/>
              <w:rPr>
                <w:rStyle w:val="29"/>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&lt;0.2</w:t>
            </w:r>
          </w:p>
        </w:tc>
      </w:tr>
    </w:tbl>
    <w:p w14:paraId="000B2585">
      <w:pPr>
        <w:spacing w:after="0" w:line="360" w:lineRule="auto"/>
        <w:jc w:val="both"/>
        <w:rPr>
          <w:rStyle w:val="29"/>
          <w:rFonts w:hint="default" w:ascii="Times New Roman" w:hAnsi="Times New Roman" w:cs="Times New Roman"/>
          <w:color w:val="auto"/>
          <w:sz w:val="24"/>
          <w:szCs w:val="24"/>
          <w:highlight w:val="none"/>
        </w:rPr>
      </w:pPr>
    </w:p>
    <w:p w14:paraId="2933E77E">
      <w:pPr>
        <w:spacing w:after="0" w:line="360" w:lineRule="auto"/>
        <w:ind w:left="720" w:hanging="720"/>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2.3.4</w:t>
      </w:r>
      <w:r>
        <w:rPr>
          <w:rFonts w:hint="default" w:ascii="Times New Roman" w:hAnsi="Times New Roman" w:cs="Times New Roman"/>
          <w:b/>
          <w:bCs/>
          <w:color w:val="auto"/>
          <w:sz w:val="24"/>
          <w:szCs w:val="24"/>
          <w:highlight w:val="none"/>
        </w:rPr>
        <w:tab/>
      </w:r>
      <w:r>
        <w:rPr>
          <w:rFonts w:hint="default" w:ascii="Times New Roman" w:hAnsi="Times New Roman" w:cs="Times New Roman"/>
          <w:b/>
          <w:bCs/>
          <w:color w:val="auto"/>
          <w:sz w:val="24"/>
          <w:szCs w:val="24"/>
          <w:highlight w:val="none"/>
        </w:rPr>
        <w:t>Overall methodology</w:t>
      </w:r>
    </w:p>
    <w:p w14:paraId="2FA1A7BE">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 xml:space="preserve">Fig. </w:t>
      </w:r>
      <w:r>
        <w:rPr>
          <w:rFonts w:hint="default" w:ascii="Times New Roman" w:hAnsi="Times New Roman" w:cs="Times New Roman"/>
          <w:color w:val="auto"/>
          <w:sz w:val="21"/>
          <w:szCs w:val="21"/>
          <w:highlight w:val="none"/>
        </w:rPr>
        <w:t xml:space="preserve">3 presents the flowchart for the overall methodology carried out in this research work. </w:t>
      </w:r>
    </w:p>
    <w:p w14:paraId="71B3A30B">
      <w:pPr>
        <w:spacing w:after="0" w:line="360" w:lineRule="auto"/>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drawing>
          <wp:inline distT="0" distB="0" distL="0" distR="0">
            <wp:extent cx="4591050" cy="5308600"/>
            <wp:effectExtent l="0" t="0" r="0" b="6350"/>
            <wp:docPr id="1044744564" name="Picture 1"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44564" name="Picture 1" descr="A diagram of a model&#10;&#10;Description automatically generated"/>
                    <pic:cNvPicPr>
                      <a:picLocks noChangeAspect="1"/>
                    </pic:cNvPicPr>
                  </pic:nvPicPr>
                  <pic:blipFill>
                    <a:blip r:embed="rId12"/>
                    <a:stretch>
                      <a:fillRect/>
                    </a:stretch>
                  </pic:blipFill>
                  <pic:spPr>
                    <a:xfrm>
                      <a:off x="0" y="0"/>
                      <a:ext cx="4595150" cy="5313492"/>
                    </a:xfrm>
                    <a:prstGeom prst="rect">
                      <a:avLst/>
                    </a:prstGeom>
                  </pic:spPr>
                </pic:pic>
              </a:graphicData>
            </a:graphic>
          </wp:inline>
        </w:drawing>
      </w:r>
    </w:p>
    <w:p w14:paraId="1AC9692E">
      <w:pPr>
        <w:spacing w:after="0"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eastAsia="zh-CN"/>
        </w:rPr>
        <w:t xml:space="preserve">Fig. </w:t>
      </w:r>
      <w:r>
        <w:rPr>
          <w:rFonts w:hint="default" w:ascii="Times New Roman" w:hAnsi="Times New Roman" w:cs="Times New Roman"/>
          <w:color w:val="auto"/>
          <w:sz w:val="18"/>
          <w:szCs w:val="18"/>
          <w:highlight w:val="none"/>
        </w:rPr>
        <w:t>3</w:t>
      </w:r>
      <w:r>
        <w:rPr>
          <w:rFonts w:hint="default" w:ascii="Times New Roman" w:hAnsi="Times New Roman" w:cs="Times New Roman"/>
          <w:color w:val="auto"/>
          <w:sz w:val="18"/>
          <w:szCs w:val="18"/>
          <w:highlight w:val="none"/>
          <w:lang w:val="en-US"/>
        </w:rPr>
        <w:t xml:space="preserve"> </w:t>
      </w:r>
      <w:r>
        <w:rPr>
          <w:rFonts w:hint="default" w:ascii="Times New Roman" w:hAnsi="Times New Roman" w:cs="Times New Roman"/>
          <w:color w:val="auto"/>
          <w:sz w:val="18"/>
          <w:szCs w:val="18"/>
          <w:highlight w:val="none"/>
        </w:rPr>
        <w:t xml:space="preserve"> Overall methodology</w:t>
      </w:r>
    </w:p>
    <w:p w14:paraId="3BD4BC37">
      <w:pPr>
        <w:spacing w:after="0" w:line="360" w:lineRule="auto"/>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 xml:space="preserve">图3 </w:t>
      </w:r>
      <w:r>
        <w:rPr>
          <w:rFonts w:hint="default" w:ascii="Times New Roman" w:hAnsi="Times New Roman" w:eastAsia="宋体" w:cs="Times New Roman"/>
          <w:b/>
          <w:bCs/>
          <w:color w:val="auto"/>
          <w:sz w:val="18"/>
          <w:szCs w:val="18"/>
          <w:highlight w:val="none"/>
          <w:lang w:eastAsia="zh-CN"/>
        </w:rPr>
        <w:t>技术路线</w:t>
      </w:r>
    </w:p>
    <w:p w14:paraId="5CC626FB">
      <w:pPr>
        <w:spacing w:after="0" w:line="360" w:lineRule="auto"/>
        <w:ind w:left="720" w:hanging="360"/>
        <w:jc w:val="both"/>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3.</w:t>
      </w:r>
      <w:r>
        <w:rPr>
          <w:rFonts w:hint="default" w:ascii="Times New Roman" w:hAnsi="Times New Roman" w:cs="Times New Roman"/>
          <w:b/>
          <w:bCs/>
          <w:color w:val="auto"/>
          <w:sz w:val="24"/>
          <w:szCs w:val="24"/>
          <w:highlight w:val="none"/>
        </w:rPr>
        <w:tab/>
      </w:r>
      <w:r>
        <w:rPr>
          <w:rFonts w:hint="default" w:ascii="Times New Roman" w:hAnsi="Times New Roman" w:cs="Times New Roman"/>
          <w:b/>
          <w:bCs/>
          <w:color w:val="auto"/>
          <w:sz w:val="24"/>
          <w:szCs w:val="24"/>
          <w:highlight w:val="none"/>
        </w:rPr>
        <w:t>Results and Discussion</w:t>
      </w:r>
    </w:p>
    <w:p w14:paraId="78F62316">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Table 2 presents the saturated infiltration rates for selected locations in the study, and Table 3 lists the complete set of results. The measured infiltration rates ranged from 0.11 cm/h to 0.96 cm/h across the 61 farm-lot points. All three study areas were dominated by clay-textured profiles, as determined by field augering and the USDA soil texture triangle. Soils with a higher sand or gravel fraction exhibited higher infiltration rates than the clay-dominated profiles. The highest rate, 0.96 cm/h, was recorded in Minipe D47 (FC1/D47 LB) and the lowest, 0.11 cm/h, in Hurulu Wewa (FC4/D3). At Hurulu Wewa the rates ranged from 0.11 cm/h to 0.40 cm/h, reflecting the high clay content of that command area. A rate of 0.85 cm/h was observed in the Mailapitiya canal, where the field canal traverses gravelly clay, and 0.60 cm/h in Minipe D47 (FC1/D47) where the profile is sandy clay. Although the dominant texture was clay in all three main field canals, infiltration rates were consistently higher where gravel and sand fractions were present. Scheme means were 0.504 cm/h at Minipe D47, 0.383 cm/h at Maduru Oya PDA and 0.223 cm/h at Hurulu Wewa, and the between-scheme differences were highly significant (</w:t>
      </w:r>
      <w:r>
        <w:rPr>
          <w:rFonts w:hint="default" w:ascii="Times New Roman" w:hAnsi="Times New Roman" w:cs="Times New Roman"/>
          <w:color w:val="auto"/>
          <w:sz w:val="21"/>
          <w:szCs w:val="21"/>
          <w:highlight w:val="none"/>
          <w:lang w:eastAsia="zh-CN"/>
        </w:rPr>
        <w:t>KRUSKAL-WALLIS</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&lt; 0.001). A hydrological study at the University of Cape Coast School of Agriculture Research Station at Twifo Wamaso, Ghana, showed that the hydraulic conductivity of sandy soil is higher than that of clayey soil, because water moves more quickly through the large pore spaces between coarse particles than through fine pores </w:t>
      </w:r>
      <w:r>
        <w:rPr>
          <w:rFonts w:hint="default" w:ascii="Times New Roman" w:hAnsi="Times New Roman" w:cs="Times New Roman"/>
          <w:color w:val="auto"/>
          <w:sz w:val="21"/>
          <w:szCs w:val="21"/>
          <w:highlight w:val="none"/>
          <w:vertAlign w:val="superscript"/>
        </w:rPr>
        <w:t>[31]</w:t>
      </w:r>
      <w:r>
        <w:rPr>
          <w:rFonts w:hint="default" w:ascii="Times New Roman" w:hAnsi="Times New Roman" w:cs="Times New Roman"/>
          <w:color w:val="auto"/>
          <w:sz w:val="21"/>
          <w:szCs w:val="21"/>
          <w:highlight w:val="none"/>
        </w:rPr>
        <w:t>. Clayey soils containing gravel therefore exhibit higher infiltration rates than clay alone. Residual variation is attributable to soil texture, faunal burrowing, incomplete prewetting, and soil disturbance caused by driving the infiltration rings.</w:t>
      </w:r>
    </w:p>
    <w:p w14:paraId="48A3CA6A">
      <w:pPr>
        <w:spacing w:after="0"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Table 2</w:t>
      </w:r>
      <w:r>
        <w:rPr>
          <w:rFonts w:hint="default" w:ascii="Times New Roman" w:hAnsi="Times New Roman" w:cs="Times New Roman"/>
          <w:color w:val="auto"/>
          <w:sz w:val="18"/>
          <w:szCs w:val="18"/>
          <w:highlight w:val="none"/>
          <w:lang w:val="en-US" w:eastAsia="zh-CN"/>
        </w:rPr>
        <w:t xml:space="preserve"> </w:t>
      </w:r>
      <w:r>
        <w:rPr>
          <w:rFonts w:hint="default" w:ascii="Times New Roman" w:hAnsi="Times New Roman" w:cs="Times New Roman"/>
          <w:color w:val="auto"/>
          <w:sz w:val="18"/>
          <w:szCs w:val="18"/>
          <w:highlight w:val="none"/>
        </w:rPr>
        <w:t xml:space="preserve"> Infiltration rates at saturation in some field canals in the study area</w:t>
      </w:r>
    </w:p>
    <w:p w14:paraId="18382585">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表2</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研究区域内某些田间渠道的饱和渗透速率</w:t>
      </w:r>
    </w:p>
    <w:tbl>
      <w:tblPr>
        <w:tblStyle w:val="20"/>
        <w:tblW w:w="9090" w:type="dxa"/>
        <w:tblInd w:w="-5" w:type="dxa"/>
        <w:tblLayout w:type="autofit"/>
        <w:tblCellMar>
          <w:top w:w="0" w:type="dxa"/>
          <w:left w:w="108" w:type="dxa"/>
          <w:bottom w:w="0" w:type="dxa"/>
          <w:right w:w="108" w:type="dxa"/>
        </w:tblCellMar>
      </w:tblPr>
      <w:tblGrid>
        <w:gridCol w:w="2218"/>
        <w:gridCol w:w="2544"/>
        <w:gridCol w:w="4328"/>
      </w:tblGrid>
      <w:tr w14:paraId="7449602A">
        <w:tblPrEx>
          <w:tblCellMar>
            <w:top w:w="0" w:type="dxa"/>
            <w:left w:w="108" w:type="dxa"/>
            <w:bottom w:w="0" w:type="dxa"/>
            <w:right w:w="108" w:type="dxa"/>
          </w:tblCellMar>
        </w:tblPrEx>
        <w:trPr>
          <w:trHeight w:val="242" w:hRule="atLeast"/>
        </w:trPr>
        <w:tc>
          <w:tcPr>
            <w:tcW w:w="2218" w:type="dxa"/>
            <w:tcBorders>
              <w:top w:val="single" w:color="auto" w:sz="4" w:space="0"/>
              <w:left w:val="single" w:color="auto" w:sz="4" w:space="0"/>
              <w:bottom w:val="single" w:color="auto" w:sz="4" w:space="0"/>
              <w:right w:val="single" w:color="auto" w:sz="4" w:space="0"/>
            </w:tcBorders>
            <w:vAlign w:val="center"/>
          </w:tcPr>
          <w:p w14:paraId="4E99144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Field Canal</w:t>
            </w:r>
          </w:p>
        </w:tc>
        <w:tc>
          <w:tcPr>
            <w:tcW w:w="2544" w:type="dxa"/>
            <w:tcBorders>
              <w:top w:val="single" w:color="auto" w:sz="4" w:space="0"/>
              <w:left w:val="nil"/>
              <w:bottom w:val="single" w:color="auto" w:sz="4" w:space="0"/>
              <w:right w:val="single" w:color="auto" w:sz="4" w:space="0"/>
            </w:tcBorders>
            <w:vAlign w:val="center"/>
          </w:tcPr>
          <w:p w14:paraId="61ACDF5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Farm Lot Location</w:t>
            </w:r>
          </w:p>
        </w:tc>
        <w:tc>
          <w:tcPr>
            <w:tcW w:w="4328" w:type="dxa"/>
            <w:tcBorders>
              <w:top w:val="single" w:color="auto" w:sz="4" w:space="0"/>
              <w:left w:val="nil"/>
              <w:bottom w:val="single" w:color="auto" w:sz="4" w:space="0"/>
              <w:right w:val="single" w:color="auto" w:sz="4" w:space="0"/>
            </w:tcBorders>
            <w:vAlign w:val="center"/>
          </w:tcPr>
          <w:p w14:paraId="4000A867">
            <w:pPr>
              <w:spacing w:after="0" w:line="240" w:lineRule="auto"/>
              <w:jc w:val="both"/>
              <w:rPr>
                <w:rFonts w:hint="default" w:ascii="Times New Roman" w:hAnsi="Times New Roman" w:eastAsia="宋体" w:cs="Times New Roman"/>
                <w:color w:val="auto"/>
                <w:sz w:val="15"/>
                <w:szCs w:val="15"/>
                <w:highlight w:val="none"/>
                <w:lang w:eastAsia="zh-CN"/>
              </w:rPr>
            </w:pPr>
            <w:r>
              <w:rPr>
                <w:rFonts w:hint="default" w:ascii="Times New Roman" w:hAnsi="Times New Roman" w:eastAsia="Times New Roman" w:cs="Times New Roman"/>
                <w:color w:val="auto"/>
                <w:sz w:val="15"/>
                <w:szCs w:val="15"/>
                <w:highlight w:val="none"/>
              </w:rPr>
              <w:t>Infiltration rates /cm</w:t>
            </w:r>
            <w:r>
              <w:rPr>
                <w:rFonts w:hint="default" w:ascii="Times New Roman" w:hAnsi="Times New Roman" w:eastAsia="宋体" w:cs="Times New Roman"/>
                <w:color w:val="auto"/>
                <w:sz w:val="15"/>
                <w:szCs w:val="15"/>
                <w:highlight w:val="none"/>
                <w:lang w:eastAsia="zh-CN"/>
              </w:rPr>
              <w:t>·h</w:t>
            </w:r>
            <w:r>
              <w:rPr>
                <w:rFonts w:hint="default" w:ascii="Times New Roman" w:hAnsi="Times New Roman" w:eastAsia="宋体" w:cs="Times New Roman"/>
                <w:color w:val="auto"/>
                <w:sz w:val="15"/>
                <w:szCs w:val="15"/>
                <w:highlight w:val="none"/>
                <w:vertAlign w:val="superscript"/>
                <w:lang w:eastAsia="zh-CN"/>
              </w:rPr>
              <w:t>-1</w:t>
            </w:r>
          </w:p>
        </w:tc>
      </w:tr>
      <w:tr w14:paraId="1E6F07E7">
        <w:tblPrEx>
          <w:tblCellMar>
            <w:top w:w="0" w:type="dxa"/>
            <w:left w:w="108" w:type="dxa"/>
            <w:bottom w:w="0" w:type="dxa"/>
            <w:right w:w="108" w:type="dxa"/>
          </w:tblCellMar>
        </w:tblPrEx>
        <w:trPr>
          <w:trHeight w:val="208" w:hRule="atLeast"/>
        </w:trPr>
        <w:tc>
          <w:tcPr>
            <w:tcW w:w="2218" w:type="dxa"/>
            <w:tcBorders>
              <w:top w:val="nil"/>
              <w:left w:val="single" w:color="auto" w:sz="4" w:space="0"/>
              <w:bottom w:val="single" w:color="auto" w:sz="4" w:space="0"/>
              <w:right w:val="single" w:color="auto" w:sz="4" w:space="0"/>
            </w:tcBorders>
            <w:vAlign w:val="center"/>
          </w:tcPr>
          <w:p w14:paraId="3DFB28E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1/D47</w:t>
            </w:r>
          </w:p>
        </w:tc>
        <w:tc>
          <w:tcPr>
            <w:tcW w:w="2544" w:type="dxa"/>
            <w:tcBorders>
              <w:top w:val="nil"/>
              <w:left w:val="nil"/>
              <w:bottom w:val="single" w:color="auto" w:sz="4" w:space="0"/>
              <w:right w:val="single" w:color="auto" w:sz="4" w:space="0"/>
            </w:tcBorders>
            <w:vAlign w:val="center"/>
          </w:tcPr>
          <w:p w14:paraId="675D640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 Head lower end </w:t>
            </w:r>
          </w:p>
        </w:tc>
        <w:tc>
          <w:tcPr>
            <w:tcW w:w="4328" w:type="dxa"/>
            <w:tcBorders>
              <w:top w:val="nil"/>
              <w:left w:val="nil"/>
              <w:bottom w:val="single" w:color="auto" w:sz="4" w:space="0"/>
              <w:right w:val="single" w:color="auto" w:sz="4" w:space="0"/>
            </w:tcBorders>
            <w:vAlign w:val="center"/>
          </w:tcPr>
          <w:p w14:paraId="04D29A1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w:t>
            </w:r>
          </w:p>
        </w:tc>
      </w:tr>
      <w:tr w14:paraId="15F3F0DB">
        <w:tblPrEx>
          <w:tblCellMar>
            <w:top w:w="0" w:type="dxa"/>
            <w:left w:w="108" w:type="dxa"/>
            <w:bottom w:w="0" w:type="dxa"/>
            <w:right w:w="108" w:type="dxa"/>
          </w:tblCellMar>
        </w:tblPrEx>
        <w:trPr>
          <w:trHeight w:val="186" w:hRule="atLeast"/>
        </w:trPr>
        <w:tc>
          <w:tcPr>
            <w:tcW w:w="2218" w:type="dxa"/>
            <w:vMerge w:val="restart"/>
            <w:tcBorders>
              <w:top w:val="nil"/>
              <w:left w:val="single" w:color="auto" w:sz="4" w:space="0"/>
              <w:bottom w:val="single" w:color="auto" w:sz="4" w:space="0"/>
              <w:right w:val="single" w:color="auto" w:sz="4" w:space="0"/>
            </w:tcBorders>
            <w:vAlign w:val="center"/>
          </w:tcPr>
          <w:p w14:paraId="248EF9B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FC1/D47 LB</w:t>
            </w:r>
          </w:p>
        </w:tc>
        <w:tc>
          <w:tcPr>
            <w:tcW w:w="2544" w:type="dxa"/>
            <w:tcBorders>
              <w:top w:val="nil"/>
              <w:left w:val="nil"/>
              <w:bottom w:val="single" w:color="auto" w:sz="4" w:space="0"/>
              <w:right w:val="single" w:color="auto" w:sz="4" w:space="0"/>
            </w:tcBorders>
            <w:vAlign w:val="center"/>
          </w:tcPr>
          <w:p w14:paraId="1C0DCDC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4328" w:type="dxa"/>
            <w:tcBorders>
              <w:top w:val="nil"/>
              <w:left w:val="nil"/>
              <w:bottom w:val="single" w:color="auto" w:sz="4" w:space="0"/>
              <w:right w:val="single" w:color="auto" w:sz="4" w:space="0"/>
            </w:tcBorders>
            <w:vAlign w:val="center"/>
          </w:tcPr>
          <w:p w14:paraId="589CE46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0.34</w:t>
            </w:r>
          </w:p>
        </w:tc>
      </w:tr>
      <w:tr w14:paraId="741C899F">
        <w:tblPrEx>
          <w:tblCellMar>
            <w:top w:w="0" w:type="dxa"/>
            <w:left w:w="108" w:type="dxa"/>
            <w:bottom w:w="0" w:type="dxa"/>
            <w:right w:w="108" w:type="dxa"/>
          </w:tblCellMar>
        </w:tblPrEx>
        <w:trPr>
          <w:trHeight w:val="114" w:hRule="atLeast"/>
        </w:trPr>
        <w:tc>
          <w:tcPr>
            <w:tcW w:w="2218" w:type="dxa"/>
            <w:vMerge w:val="continue"/>
            <w:tcBorders>
              <w:top w:val="nil"/>
              <w:left w:val="single" w:color="auto" w:sz="4" w:space="0"/>
              <w:bottom w:val="single" w:color="auto" w:sz="4" w:space="0"/>
              <w:right w:val="single" w:color="auto" w:sz="4" w:space="0"/>
            </w:tcBorders>
            <w:vAlign w:val="center"/>
          </w:tcPr>
          <w:p w14:paraId="4A6BD16F">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254E5AE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4328" w:type="dxa"/>
            <w:tcBorders>
              <w:top w:val="nil"/>
              <w:left w:val="nil"/>
              <w:bottom w:val="single" w:color="auto" w:sz="4" w:space="0"/>
              <w:right w:val="single" w:color="auto" w:sz="4" w:space="0"/>
            </w:tcBorders>
            <w:vAlign w:val="center"/>
          </w:tcPr>
          <w:p w14:paraId="4A031A8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w:t>
            </w:r>
          </w:p>
        </w:tc>
      </w:tr>
      <w:tr w14:paraId="23E5A3C9">
        <w:tblPrEx>
          <w:tblCellMar>
            <w:top w:w="0" w:type="dxa"/>
            <w:left w:w="108" w:type="dxa"/>
            <w:bottom w:w="0" w:type="dxa"/>
            <w:right w:w="108" w:type="dxa"/>
          </w:tblCellMar>
        </w:tblPrEx>
        <w:trPr>
          <w:trHeight w:val="107" w:hRule="atLeast"/>
        </w:trPr>
        <w:tc>
          <w:tcPr>
            <w:tcW w:w="2218" w:type="dxa"/>
            <w:vMerge w:val="restart"/>
            <w:tcBorders>
              <w:top w:val="nil"/>
              <w:left w:val="single" w:color="auto" w:sz="4" w:space="0"/>
              <w:bottom w:val="single" w:color="auto" w:sz="4" w:space="0"/>
              <w:right w:val="single" w:color="auto" w:sz="4" w:space="0"/>
            </w:tcBorders>
            <w:vAlign w:val="center"/>
          </w:tcPr>
          <w:p w14:paraId="05D892E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Mailapitiya Canal</w:t>
            </w:r>
          </w:p>
        </w:tc>
        <w:tc>
          <w:tcPr>
            <w:tcW w:w="2544" w:type="dxa"/>
            <w:tcBorders>
              <w:top w:val="nil"/>
              <w:left w:val="nil"/>
              <w:bottom w:val="single" w:color="auto" w:sz="4" w:space="0"/>
              <w:right w:val="single" w:color="auto" w:sz="4" w:space="0"/>
            </w:tcBorders>
            <w:vAlign w:val="center"/>
          </w:tcPr>
          <w:p w14:paraId="6088380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4328" w:type="dxa"/>
            <w:tcBorders>
              <w:top w:val="nil"/>
              <w:left w:val="nil"/>
              <w:bottom w:val="single" w:color="auto" w:sz="4" w:space="0"/>
              <w:right w:val="single" w:color="auto" w:sz="4" w:space="0"/>
            </w:tcBorders>
            <w:vAlign w:val="center"/>
          </w:tcPr>
          <w:p w14:paraId="64DA406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0.85</w:t>
            </w:r>
          </w:p>
        </w:tc>
      </w:tr>
      <w:tr w14:paraId="6C9CBC34">
        <w:tblPrEx>
          <w:tblCellMar>
            <w:top w:w="0" w:type="dxa"/>
            <w:left w:w="108" w:type="dxa"/>
            <w:bottom w:w="0" w:type="dxa"/>
            <w:right w:w="108" w:type="dxa"/>
          </w:tblCellMar>
        </w:tblPrEx>
        <w:trPr>
          <w:trHeight w:val="231" w:hRule="atLeast"/>
        </w:trPr>
        <w:tc>
          <w:tcPr>
            <w:tcW w:w="2218" w:type="dxa"/>
            <w:vMerge w:val="continue"/>
            <w:tcBorders>
              <w:top w:val="nil"/>
              <w:left w:val="single" w:color="auto" w:sz="4" w:space="0"/>
              <w:bottom w:val="single" w:color="auto" w:sz="4" w:space="0"/>
              <w:right w:val="single" w:color="auto" w:sz="4" w:space="0"/>
            </w:tcBorders>
            <w:vAlign w:val="center"/>
          </w:tcPr>
          <w:p w14:paraId="3BC90CDE">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2AFF78F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4328" w:type="dxa"/>
            <w:tcBorders>
              <w:top w:val="nil"/>
              <w:left w:val="nil"/>
              <w:bottom w:val="single" w:color="auto" w:sz="4" w:space="0"/>
              <w:right w:val="single" w:color="auto" w:sz="4" w:space="0"/>
            </w:tcBorders>
            <w:vAlign w:val="center"/>
          </w:tcPr>
          <w:p w14:paraId="25D161A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0.39</w:t>
            </w:r>
          </w:p>
        </w:tc>
      </w:tr>
      <w:tr w14:paraId="139D8B5E">
        <w:tblPrEx>
          <w:tblCellMar>
            <w:top w:w="0" w:type="dxa"/>
            <w:left w:w="108" w:type="dxa"/>
            <w:bottom w:w="0" w:type="dxa"/>
            <w:right w:w="108" w:type="dxa"/>
          </w:tblCellMar>
        </w:tblPrEx>
        <w:trPr>
          <w:trHeight w:val="129" w:hRule="atLeast"/>
        </w:trPr>
        <w:tc>
          <w:tcPr>
            <w:tcW w:w="2218" w:type="dxa"/>
            <w:vMerge w:val="continue"/>
            <w:tcBorders>
              <w:top w:val="nil"/>
              <w:left w:val="single" w:color="auto" w:sz="4" w:space="0"/>
              <w:bottom w:val="single" w:color="auto" w:sz="4" w:space="0"/>
              <w:right w:val="single" w:color="auto" w:sz="4" w:space="0"/>
            </w:tcBorders>
            <w:vAlign w:val="center"/>
          </w:tcPr>
          <w:p w14:paraId="53ED03FC">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46BEC65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Intermediate</w:t>
            </w:r>
          </w:p>
        </w:tc>
        <w:tc>
          <w:tcPr>
            <w:tcW w:w="4328" w:type="dxa"/>
            <w:tcBorders>
              <w:top w:val="nil"/>
              <w:left w:val="nil"/>
              <w:bottom w:val="single" w:color="auto" w:sz="4" w:space="0"/>
              <w:right w:val="single" w:color="auto" w:sz="4" w:space="0"/>
            </w:tcBorders>
            <w:vAlign w:val="center"/>
          </w:tcPr>
          <w:p w14:paraId="1FCCEC9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0.32</w:t>
            </w:r>
          </w:p>
        </w:tc>
      </w:tr>
      <w:tr w14:paraId="05E63AFD">
        <w:tblPrEx>
          <w:tblCellMar>
            <w:top w:w="0" w:type="dxa"/>
            <w:left w:w="108" w:type="dxa"/>
            <w:bottom w:w="0" w:type="dxa"/>
            <w:right w:w="108" w:type="dxa"/>
          </w:tblCellMar>
        </w:tblPrEx>
        <w:trPr>
          <w:trHeight w:val="56" w:hRule="atLeast"/>
        </w:trPr>
        <w:tc>
          <w:tcPr>
            <w:tcW w:w="2218" w:type="dxa"/>
            <w:vMerge w:val="continue"/>
            <w:tcBorders>
              <w:top w:val="nil"/>
              <w:left w:val="single" w:color="auto" w:sz="4" w:space="0"/>
              <w:bottom w:val="single" w:color="auto" w:sz="4" w:space="0"/>
              <w:right w:val="single" w:color="auto" w:sz="4" w:space="0"/>
            </w:tcBorders>
            <w:vAlign w:val="center"/>
          </w:tcPr>
          <w:p w14:paraId="1DF84A33">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5943511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Lower end</w:t>
            </w:r>
          </w:p>
        </w:tc>
        <w:tc>
          <w:tcPr>
            <w:tcW w:w="4328" w:type="dxa"/>
            <w:tcBorders>
              <w:top w:val="nil"/>
              <w:left w:val="nil"/>
              <w:bottom w:val="single" w:color="auto" w:sz="4" w:space="0"/>
              <w:right w:val="single" w:color="auto" w:sz="4" w:space="0"/>
            </w:tcBorders>
            <w:vAlign w:val="center"/>
          </w:tcPr>
          <w:p w14:paraId="068A623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0.48</w:t>
            </w:r>
          </w:p>
        </w:tc>
      </w:tr>
      <w:tr w14:paraId="060391CA">
        <w:tblPrEx>
          <w:tblCellMar>
            <w:top w:w="0" w:type="dxa"/>
            <w:left w:w="108" w:type="dxa"/>
            <w:bottom w:w="0" w:type="dxa"/>
            <w:right w:w="108" w:type="dxa"/>
          </w:tblCellMar>
        </w:tblPrEx>
        <w:trPr>
          <w:trHeight w:val="56" w:hRule="atLeast"/>
        </w:trPr>
        <w:tc>
          <w:tcPr>
            <w:tcW w:w="2218" w:type="dxa"/>
            <w:vMerge w:val="restart"/>
            <w:tcBorders>
              <w:top w:val="nil"/>
              <w:left w:val="single" w:color="auto" w:sz="4" w:space="0"/>
              <w:bottom w:val="single" w:color="auto" w:sz="4" w:space="0"/>
              <w:right w:val="single" w:color="auto" w:sz="4" w:space="0"/>
            </w:tcBorders>
            <w:vAlign w:val="center"/>
          </w:tcPr>
          <w:p w14:paraId="6C71A41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70/D6/104</w:t>
            </w:r>
          </w:p>
        </w:tc>
        <w:tc>
          <w:tcPr>
            <w:tcW w:w="2544" w:type="dxa"/>
            <w:tcBorders>
              <w:top w:val="nil"/>
              <w:left w:val="nil"/>
              <w:bottom w:val="single" w:color="auto" w:sz="4" w:space="0"/>
              <w:right w:val="single" w:color="auto" w:sz="4" w:space="0"/>
            </w:tcBorders>
            <w:vAlign w:val="center"/>
          </w:tcPr>
          <w:p w14:paraId="5EB02E2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Middle Lower end</w:t>
            </w:r>
          </w:p>
        </w:tc>
        <w:tc>
          <w:tcPr>
            <w:tcW w:w="4328" w:type="dxa"/>
            <w:tcBorders>
              <w:top w:val="nil"/>
              <w:left w:val="nil"/>
              <w:bottom w:val="single" w:color="auto" w:sz="4" w:space="0"/>
              <w:right w:val="single" w:color="auto" w:sz="4" w:space="0"/>
            </w:tcBorders>
            <w:vAlign w:val="center"/>
          </w:tcPr>
          <w:p w14:paraId="27E7E33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0.45</w:t>
            </w:r>
          </w:p>
        </w:tc>
      </w:tr>
      <w:tr w14:paraId="630A610B">
        <w:tblPrEx>
          <w:tblCellMar>
            <w:top w:w="0" w:type="dxa"/>
            <w:left w:w="108" w:type="dxa"/>
            <w:bottom w:w="0" w:type="dxa"/>
            <w:right w:w="108" w:type="dxa"/>
          </w:tblCellMar>
        </w:tblPrEx>
        <w:trPr>
          <w:trHeight w:val="121" w:hRule="atLeast"/>
        </w:trPr>
        <w:tc>
          <w:tcPr>
            <w:tcW w:w="2218" w:type="dxa"/>
            <w:vMerge w:val="continue"/>
            <w:tcBorders>
              <w:top w:val="nil"/>
              <w:left w:val="single" w:color="auto" w:sz="4" w:space="0"/>
              <w:bottom w:val="single" w:color="auto" w:sz="4" w:space="0"/>
              <w:right w:val="single" w:color="auto" w:sz="4" w:space="0"/>
            </w:tcBorders>
            <w:vAlign w:val="center"/>
          </w:tcPr>
          <w:p w14:paraId="51FCB4B2">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66ACE0F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Upper end </w:t>
            </w:r>
          </w:p>
        </w:tc>
        <w:tc>
          <w:tcPr>
            <w:tcW w:w="4328" w:type="dxa"/>
            <w:tcBorders>
              <w:top w:val="nil"/>
              <w:left w:val="nil"/>
              <w:bottom w:val="single" w:color="auto" w:sz="4" w:space="0"/>
              <w:right w:val="single" w:color="auto" w:sz="4" w:space="0"/>
            </w:tcBorders>
            <w:vAlign w:val="center"/>
          </w:tcPr>
          <w:p w14:paraId="114018F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0.33</w:t>
            </w:r>
          </w:p>
        </w:tc>
      </w:tr>
      <w:tr w14:paraId="42F86B3A">
        <w:tblPrEx>
          <w:tblCellMar>
            <w:top w:w="0" w:type="dxa"/>
            <w:left w:w="108" w:type="dxa"/>
            <w:bottom w:w="0" w:type="dxa"/>
            <w:right w:w="108" w:type="dxa"/>
          </w:tblCellMar>
        </w:tblPrEx>
        <w:trPr>
          <w:trHeight w:val="114" w:hRule="atLeast"/>
        </w:trPr>
        <w:tc>
          <w:tcPr>
            <w:tcW w:w="2218" w:type="dxa"/>
            <w:vMerge w:val="restart"/>
            <w:tcBorders>
              <w:top w:val="nil"/>
              <w:left w:val="single" w:color="auto" w:sz="4" w:space="0"/>
              <w:bottom w:val="single" w:color="auto" w:sz="4" w:space="0"/>
              <w:right w:val="single" w:color="auto" w:sz="4" w:space="0"/>
            </w:tcBorders>
            <w:vAlign w:val="center"/>
          </w:tcPr>
          <w:p w14:paraId="2039CE5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FC63/SD1/D6/104</w:t>
            </w:r>
          </w:p>
        </w:tc>
        <w:tc>
          <w:tcPr>
            <w:tcW w:w="2544" w:type="dxa"/>
            <w:tcBorders>
              <w:top w:val="nil"/>
              <w:left w:val="nil"/>
              <w:bottom w:val="single" w:color="auto" w:sz="4" w:space="0"/>
              <w:right w:val="single" w:color="auto" w:sz="4" w:space="0"/>
            </w:tcBorders>
            <w:vAlign w:val="center"/>
          </w:tcPr>
          <w:p w14:paraId="64AED12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Upper end </w:t>
            </w:r>
          </w:p>
        </w:tc>
        <w:tc>
          <w:tcPr>
            <w:tcW w:w="4328" w:type="dxa"/>
            <w:tcBorders>
              <w:top w:val="nil"/>
              <w:left w:val="nil"/>
              <w:bottom w:val="single" w:color="auto" w:sz="4" w:space="0"/>
              <w:right w:val="single" w:color="auto" w:sz="4" w:space="0"/>
            </w:tcBorders>
            <w:vAlign w:val="center"/>
          </w:tcPr>
          <w:p w14:paraId="219A995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0.19</w:t>
            </w:r>
          </w:p>
        </w:tc>
      </w:tr>
      <w:tr w14:paraId="1D46C50B">
        <w:tblPrEx>
          <w:tblCellMar>
            <w:top w:w="0" w:type="dxa"/>
            <w:left w:w="108" w:type="dxa"/>
            <w:bottom w:w="0" w:type="dxa"/>
            <w:right w:w="108" w:type="dxa"/>
          </w:tblCellMar>
        </w:tblPrEx>
        <w:trPr>
          <w:trHeight w:val="259" w:hRule="atLeast"/>
        </w:trPr>
        <w:tc>
          <w:tcPr>
            <w:tcW w:w="2218" w:type="dxa"/>
            <w:vMerge w:val="continue"/>
            <w:tcBorders>
              <w:top w:val="nil"/>
              <w:left w:val="single" w:color="auto" w:sz="4" w:space="0"/>
              <w:bottom w:val="single" w:color="auto" w:sz="4" w:space="0"/>
              <w:right w:val="single" w:color="auto" w:sz="4" w:space="0"/>
            </w:tcBorders>
            <w:vAlign w:val="center"/>
          </w:tcPr>
          <w:p w14:paraId="4F366FC1">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766A17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Middle Lower end</w:t>
            </w:r>
          </w:p>
        </w:tc>
        <w:tc>
          <w:tcPr>
            <w:tcW w:w="4328" w:type="dxa"/>
            <w:tcBorders>
              <w:top w:val="nil"/>
              <w:left w:val="nil"/>
              <w:bottom w:val="single" w:color="auto" w:sz="4" w:space="0"/>
              <w:right w:val="single" w:color="auto" w:sz="4" w:space="0"/>
            </w:tcBorders>
            <w:vAlign w:val="center"/>
          </w:tcPr>
          <w:p w14:paraId="5F09FD4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0.49</w:t>
            </w:r>
          </w:p>
        </w:tc>
      </w:tr>
      <w:tr w14:paraId="4EFD4BE4">
        <w:tblPrEx>
          <w:tblCellMar>
            <w:top w:w="0" w:type="dxa"/>
            <w:left w:w="108" w:type="dxa"/>
            <w:bottom w:w="0" w:type="dxa"/>
            <w:right w:w="108" w:type="dxa"/>
          </w:tblCellMar>
        </w:tblPrEx>
        <w:trPr>
          <w:trHeight w:val="231" w:hRule="atLeast"/>
        </w:trPr>
        <w:tc>
          <w:tcPr>
            <w:tcW w:w="2218" w:type="dxa"/>
            <w:vMerge w:val="restart"/>
            <w:tcBorders>
              <w:top w:val="nil"/>
              <w:left w:val="single" w:color="auto" w:sz="4" w:space="0"/>
              <w:bottom w:val="single" w:color="auto" w:sz="4" w:space="0"/>
              <w:right w:val="single" w:color="auto" w:sz="4" w:space="0"/>
            </w:tcBorders>
            <w:vAlign w:val="center"/>
          </w:tcPr>
          <w:p w14:paraId="3F02039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1/D3</w:t>
            </w:r>
          </w:p>
        </w:tc>
        <w:tc>
          <w:tcPr>
            <w:tcW w:w="2544" w:type="dxa"/>
            <w:tcBorders>
              <w:top w:val="nil"/>
              <w:left w:val="nil"/>
              <w:bottom w:val="single" w:color="auto" w:sz="4" w:space="0"/>
              <w:right w:val="single" w:color="auto" w:sz="4" w:space="0"/>
            </w:tcBorders>
            <w:vAlign w:val="center"/>
          </w:tcPr>
          <w:p w14:paraId="4B4FEA4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4328" w:type="dxa"/>
            <w:tcBorders>
              <w:top w:val="nil"/>
              <w:left w:val="nil"/>
              <w:bottom w:val="single" w:color="auto" w:sz="4" w:space="0"/>
              <w:right w:val="single" w:color="auto" w:sz="4" w:space="0"/>
            </w:tcBorders>
            <w:vAlign w:val="center"/>
          </w:tcPr>
          <w:p w14:paraId="53DC8C4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0.25</w:t>
            </w:r>
          </w:p>
        </w:tc>
      </w:tr>
      <w:tr w14:paraId="73770992">
        <w:tblPrEx>
          <w:tblCellMar>
            <w:top w:w="0" w:type="dxa"/>
            <w:left w:w="108" w:type="dxa"/>
            <w:bottom w:w="0" w:type="dxa"/>
            <w:right w:w="108" w:type="dxa"/>
          </w:tblCellMar>
        </w:tblPrEx>
        <w:trPr>
          <w:trHeight w:val="114" w:hRule="atLeast"/>
        </w:trPr>
        <w:tc>
          <w:tcPr>
            <w:tcW w:w="2218" w:type="dxa"/>
            <w:vMerge w:val="continue"/>
            <w:tcBorders>
              <w:top w:val="nil"/>
              <w:left w:val="single" w:color="auto" w:sz="4" w:space="0"/>
              <w:bottom w:val="single" w:color="auto" w:sz="4" w:space="0"/>
              <w:right w:val="single" w:color="auto" w:sz="4" w:space="0"/>
            </w:tcBorders>
            <w:vAlign w:val="center"/>
          </w:tcPr>
          <w:p w14:paraId="66553F18">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6F6270A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Middle Tail end</w:t>
            </w:r>
          </w:p>
        </w:tc>
        <w:tc>
          <w:tcPr>
            <w:tcW w:w="4328" w:type="dxa"/>
            <w:tcBorders>
              <w:top w:val="nil"/>
              <w:left w:val="nil"/>
              <w:bottom w:val="single" w:color="auto" w:sz="4" w:space="0"/>
              <w:right w:val="single" w:color="auto" w:sz="4" w:space="0"/>
            </w:tcBorders>
            <w:vAlign w:val="center"/>
          </w:tcPr>
          <w:p w14:paraId="2E89B1C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0.12</w:t>
            </w:r>
          </w:p>
        </w:tc>
      </w:tr>
      <w:tr w14:paraId="41211EE8">
        <w:tblPrEx>
          <w:tblCellMar>
            <w:top w:w="0" w:type="dxa"/>
            <w:left w:w="108" w:type="dxa"/>
            <w:bottom w:w="0" w:type="dxa"/>
            <w:right w:w="108" w:type="dxa"/>
          </w:tblCellMar>
        </w:tblPrEx>
        <w:trPr>
          <w:trHeight w:val="46" w:hRule="atLeast"/>
        </w:trPr>
        <w:tc>
          <w:tcPr>
            <w:tcW w:w="2218" w:type="dxa"/>
            <w:vMerge w:val="restart"/>
            <w:tcBorders>
              <w:top w:val="nil"/>
              <w:left w:val="single" w:color="auto" w:sz="4" w:space="0"/>
              <w:bottom w:val="single" w:color="auto" w:sz="4" w:space="0"/>
              <w:right w:val="single" w:color="auto" w:sz="4" w:space="0"/>
            </w:tcBorders>
            <w:vAlign w:val="center"/>
          </w:tcPr>
          <w:p w14:paraId="38B708C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FC4/D3</w:t>
            </w:r>
          </w:p>
        </w:tc>
        <w:tc>
          <w:tcPr>
            <w:tcW w:w="2544" w:type="dxa"/>
            <w:tcBorders>
              <w:top w:val="nil"/>
              <w:left w:val="nil"/>
              <w:bottom w:val="single" w:color="auto" w:sz="4" w:space="0"/>
              <w:right w:val="single" w:color="auto" w:sz="4" w:space="0"/>
            </w:tcBorders>
            <w:vAlign w:val="center"/>
          </w:tcPr>
          <w:p w14:paraId="60D93D2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Upper end </w:t>
            </w:r>
          </w:p>
        </w:tc>
        <w:tc>
          <w:tcPr>
            <w:tcW w:w="4328" w:type="dxa"/>
            <w:tcBorders>
              <w:top w:val="nil"/>
              <w:left w:val="nil"/>
              <w:bottom w:val="single" w:color="auto" w:sz="4" w:space="0"/>
              <w:right w:val="single" w:color="auto" w:sz="4" w:space="0"/>
            </w:tcBorders>
            <w:vAlign w:val="center"/>
          </w:tcPr>
          <w:p w14:paraId="090C8A4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0.11</w:t>
            </w:r>
          </w:p>
        </w:tc>
      </w:tr>
      <w:tr w14:paraId="4DDC7C05">
        <w:tblPrEx>
          <w:tblCellMar>
            <w:top w:w="0" w:type="dxa"/>
            <w:left w:w="108" w:type="dxa"/>
            <w:bottom w:w="0" w:type="dxa"/>
            <w:right w:w="108" w:type="dxa"/>
          </w:tblCellMar>
        </w:tblPrEx>
        <w:trPr>
          <w:trHeight w:val="46" w:hRule="atLeast"/>
        </w:trPr>
        <w:tc>
          <w:tcPr>
            <w:tcW w:w="2218" w:type="dxa"/>
            <w:vMerge w:val="continue"/>
            <w:tcBorders>
              <w:top w:val="nil"/>
              <w:left w:val="single" w:color="auto" w:sz="4" w:space="0"/>
              <w:bottom w:val="single" w:color="auto" w:sz="4" w:space="0"/>
              <w:right w:val="single" w:color="auto" w:sz="4" w:space="0"/>
            </w:tcBorders>
            <w:vAlign w:val="center"/>
          </w:tcPr>
          <w:p w14:paraId="2EAB79B5">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0368DCE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Intermediate</w:t>
            </w:r>
          </w:p>
        </w:tc>
        <w:tc>
          <w:tcPr>
            <w:tcW w:w="4328" w:type="dxa"/>
            <w:tcBorders>
              <w:top w:val="nil"/>
              <w:left w:val="nil"/>
              <w:bottom w:val="single" w:color="auto" w:sz="4" w:space="0"/>
              <w:right w:val="single" w:color="auto" w:sz="4" w:space="0"/>
            </w:tcBorders>
            <w:vAlign w:val="center"/>
          </w:tcPr>
          <w:p w14:paraId="68EFAD6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0.31</w:t>
            </w:r>
          </w:p>
        </w:tc>
      </w:tr>
      <w:tr w14:paraId="60C4B0A3">
        <w:tblPrEx>
          <w:tblCellMar>
            <w:top w:w="0" w:type="dxa"/>
            <w:left w:w="108" w:type="dxa"/>
            <w:bottom w:w="0" w:type="dxa"/>
            <w:right w:w="108" w:type="dxa"/>
          </w:tblCellMar>
        </w:tblPrEx>
        <w:trPr>
          <w:trHeight w:val="46" w:hRule="atLeast"/>
        </w:trPr>
        <w:tc>
          <w:tcPr>
            <w:tcW w:w="2218" w:type="dxa"/>
            <w:vMerge w:val="restart"/>
            <w:tcBorders>
              <w:top w:val="nil"/>
              <w:left w:val="single" w:color="auto" w:sz="4" w:space="0"/>
              <w:bottom w:val="single" w:color="auto" w:sz="4" w:space="0"/>
              <w:right w:val="single" w:color="auto" w:sz="4" w:space="0"/>
            </w:tcBorders>
            <w:vAlign w:val="center"/>
          </w:tcPr>
          <w:p w14:paraId="1E8EB4B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FC7/D3</w:t>
            </w:r>
          </w:p>
        </w:tc>
        <w:tc>
          <w:tcPr>
            <w:tcW w:w="2544" w:type="dxa"/>
            <w:tcBorders>
              <w:top w:val="nil"/>
              <w:left w:val="nil"/>
              <w:bottom w:val="single" w:color="auto" w:sz="4" w:space="0"/>
              <w:right w:val="single" w:color="auto" w:sz="4" w:space="0"/>
            </w:tcBorders>
            <w:vAlign w:val="center"/>
          </w:tcPr>
          <w:p w14:paraId="63B7B5B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Tail end</w:t>
            </w:r>
          </w:p>
        </w:tc>
        <w:tc>
          <w:tcPr>
            <w:tcW w:w="4328" w:type="dxa"/>
            <w:tcBorders>
              <w:top w:val="nil"/>
              <w:left w:val="nil"/>
              <w:bottom w:val="single" w:color="auto" w:sz="4" w:space="0"/>
              <w:right w:val="single" w:color="auto" w:sz="4" w:space="0"/>
            </w:tcBorders>
            <w:vAlign w:val="center"/>
          </w:tcPr>
          <w:p w14:paraId="19C2C9C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0.12</w:t>
            </w:r>
          </w:p>
        </w:tc>
      </w:tr>
      <w:tr w14:paraId="0C14419B">
        <w:tblPrEx>
          <w:tblCellMar>
            <w:top w:w="0" w:type="dxa"/>
            <w:left w:w="108" w:type="dxa"/>
            <w:bottom w:w="0" w:type="dxa"/>
            <w:right w:w="108" w:type="dxa"/>
          </w:tblCellMar>
        </w:tblPrEx>
        <w:trPr>
          <w:trHeight w:val="143" w:hRule="atLeast"/>
        </w:trPr>
        <w:tc>
          <w:tcPr>
            <w:tcW w:w="2218" w:type="dxa"/>
            <w:vMerge w:val="continue"/>
            <w:tcBorders>
              <w:top w:val="nil"/>
              <w:left w:val="single" w:color="auto" w:sz="4" w:space="0"/>
              <w:bottom w:val="single" w:color="auto" w:sz="4" w:space="0"/>
              <w:right w:val="single" w:color="auto" w:sz="4" w:space="0"/>
            </w:tcBorders>
            <w:vAlign w:val="center"/>
          </w:tcPr>
          <w:p w14:paraId="74B93E05">
            <w:pPr>
              <w:spacing w:after="0" w:line="240" w:lineRule="auto"/>
              <w:jc w:val="both"/>
              <w:rPr>
                <w:rFonts w:hint="default" w:ascii="Times New Roman" w:hAnsi="Times New Roman" w:eastAsia="Times New Roman" w:cs="Times New Roman"/>
                <w:color w:val="auto"/>
                <w:sz w:val="15"/>
                <w:szCs w:val="15"/>
                <w:highlight w:val="none"/>
              </w:rPr>
            </w:pPr>
          </w:p>
        </w:tc>
        <w:tc>
          <w:tcPr>
            <w:tcW w:w="2544" w:type="dxa"/>
            <w:tcBorders>
              <w:top w:val="nil"/>
              <w:left w:val="nil"/>
              <w:bottom w:val="single" w:color="auto" w:sz="4" w:space="0"/>
              <w:right w:val="single" w:color="auto" w:sz="4" w:space="0"/>
            </w:tcBorders>
            <w:vAlign w:val="center"/>
          </w:tcPr>
          <w:p w14:paraId="018D39B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Middle Upper end </w:t>
            </w:r>
          </w:p>
        </w:tc>
        <w:tc>
          <w:tcPr>
            <w:tcW w:w="4328" w:type="dxa"/>
            <w:tcBorders>
              <w:top w:val="nil"/>
              <w:left w:val="nil"/>
              <w:bottom w:val="single" w:color="auto" w:sz="4" w:space="0"/>
              <w:right w:val="single" w:color="auto" w:sz="4" w:space="0"/>
            </w:tcBorders>
            <w:vAlign w:val="center"/>
          </w:tcPr>
          <w:p w14:paraId="21EC94C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0.38</w:t>
            </w:r>
          </w:p>
        </w:tc>
      </w:tr>
    </w:tbl>
    <w:p w14:paraId="002595D7">
      <w:pPr>
        <w:spacing w:after="0"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bCs/>
          <w:color w:val="auto"/>
          <w:sz w:val="18"/>
          <w:szCs w:val="18"/>
          <w:highlight w:val="none"/>
        </w:rPr>
        <w:t>Table 3</w:t>
      </w:r>
      <w:r>
        <w:rPr>
          <w:rFonts w:hint="default" w:ascii="Times New Roman" w:hAnsi="Times New Roman" w:cs="Times New Roman"/>
          <w:bCs/>
          <w:color w:val="auto"/>
          <w:sz w:val="18"/>
          <w:szCs w:val="18"/>
          <w:highlight w:val="none"/>
          <w:lang w:val="en-US" w:eastAsia="zh-CN"/>
        </w:rPr>
        <w:t xml:space="preserve"> </w:t>
      </w:r>
      <w:r>
        <w:rPr>
          <w:rFonts w:hint="default" w:ascii="Times New Roman" w:hAnsi="Times New Roman" w:cs="Times New Roman"/>
          <w:b/>
          <w:color w:val="auto"/>
          <w:sz w:val="18"/>
          <w:szCs w:val="18"/>
          <w:highlight w:val="none"/>
        </w:rPr>
        <w:t xml:space="preserve"> </w:t>
      </w:r>
      <w:r>
        <w:rPr>
          <w:rFonts w:hint="default" w:ascii="Times New Roman" w:hAnsi="Times New Roman" w:cs="Times New Roman"/>
          <w:color w:val="auto"/>
          <w:sz w:val="18"/>
          <w:szCs w:val="18"/>
          <w:highlight w:val="none"/>
        </w:rPr>
        <w:t>Infiltration rates at saturation in different field canals in the study area</w:t>
      </w:r>
    </w:p>
    <w:p w14:paraId="3BA58B96">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表3</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研究区不同田间渠道饱和时的渗透速率</w:t>
      </w:r>
    </w:p>
    <w:tbl>
      <w:tblPr>
        <w:tblStyle w:val="21"/>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4"/>
        <w:gridCol w:w="1564"/>
        <w:gridCol w:w="1069"/>
        <w:gridCol w:w="1662"/>
        <w:gridCol w:w="1449"/>
        <w:gridCol w:w="1970"/>
      </w:tblGrid>
      <w:tr w14:paraId="18B8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128" w:type="dxa"/>
            <w:gridSpan w:val="2"/>
          </w:tcPr>
          <w:p w14:paraId="3CF20F9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Field Canal</w:t>
            </w:r>
          </w:p>
        </w:tc>
        <w:tc>
          <w:tcPr>
            <w:tcW w:w="1069" w:type="dxa"/>
            <w:noWrap/>
          </w:tcPr>
          <w:p w14:paraId="2D4DEC9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Canal Area</w:t>
            </w:r>
          </w:p>
        </w:tc>
        <w:tc>
          <w:tcPr>
            <w:tcW w:w="1662" w:type="dxa"/>
            <w:noWrap/>
          </w:tcPr>
          <w:p w14:paraId="21793DC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Farm Lot Location</w:t>
            </w:r>
          </w:p>
        </w:tc>
        <w:tc>
          <w:tcPr>
            <w:tcW w:w="1449" w:type="dxa"/>
            <w:noWrap/>
          </w:tcPr>
          <w:p w14:paraId="434409F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Soil</w:t>
            </w:r>
            <w:r>
              <w:rPr>
                <w:rFonts w:hint="default" w:ascii="Times New Roman" w:hAnsi="Times New Roman" w:eastAsia="Times New Roman" w:cs="Times New Roman"/>
                <w:color w:val="auto"/>
                <w:sz w:val="15"/>
                <w:szCs w:val="15"/>
                <w:highlight w:val="none"/>
              </w:rPr>
              <w:t xml:space="preserve"> Type</w:t>
            </w:r>
          </w:p>
        </w:tc>
        <w:tc>
          <w:tcPr>
            <w:tcW w:w="1970" w:type="dxa"/>
          </w:tcPr>
          <w:p w14:paraId="243ECFD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Infiltration rate  /cm</w:t>
            </w:r>
            <w:r>
              <w:rPr>
                <w:rFonts w:hint="default" w:ascii="Times New Roman" w:hAnsi="Times New Roman" w:eastAsia="宋体" w:cs="Times New Roman"/>
                <w:color w:val="auto"/>
                <w:sz w:val="15"/>
                <w:szCs w:val="15"/>
                <w:highlight w:val="none"/>
                <w:lang w:eastAsia="zh-CN"/>
              </w:rPr>
              <w:t>·h</w:t>
            </w:r>
            <w:r>
              <w:rPr>
                <w:rFonts w:hint="default" w:ascii="Times New Roman" w:hAnsi="Times New Roman" w:eastAsia="宋体" w:cs="Times New Roman"/>
                <w:color w:val="auto"/>
                <w:sz w:val="15"/>
                <w:szCs w:val="15"/>
                <w:highlight w:val="none"/>
                <w:vertAlign w:val="superscript"/>
                <w:lang w:eastAsia="zh-CN"/>
              </w:rPr>
              <w:t>-1</w:t>
            </w:r>
          </w:p>
        </w:tc>
      </w:tr>
      <w:tr w14:paraId="245A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restart"/>
          </w:tcPr>
          <w:p w14:paraId="7D31D43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Minipe D47</w:t>
            </w:r>
          </w:p>
        </w:tc>
        <w:tc>
          <w:tcPr>
            <w:tcW w:w="1564" w:type="dxa"/>
            <w:noWrap/>
          </w:tcPr>
          <w:p w14:paraId="7BA7189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1/D47</w:t>
            </w:r>
          </w:p>
        </w:tc>
        <w:tc>
          <w:tcPr>
            <w:tcW w:w="1069" w:type="dxa"/>
            <w:vMerge w:val="restart"/>
          </w:tcPr>
          <w:p w14:paraId="54677E8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1662" w:type="dxa"/>
          </w:tcPr>
          <w:p w14:paraId="216DA58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06743DD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Clayey gravel</w:t>
            </w:r>
          </w:p>
        </w:tc>
        <w:tc>
          <w:tcPr>
            <w:tcW w:w="1970" w:type="dxa"/>
            <w:noWrap/>
          </w:tcPr>
          <w:p w14:paraId="3475C02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0.31</w:t>
            </w:r>
          </w:p>
        </w:tc>
      </w:tr>
      <w:tr w14:paraId="56D7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BFDF07B">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7FF7AD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1/D47</w:t>
            </w:r>
          </w:p>
        </w:tc>
        <w:tc>
          <w:tcPr>
            <w:tcW w:w="1069" w:type="dxa"/>
            <w:vMerge w:val="continue"/>
          </w:tcPr>
          <w:p w14:paraId="2F189A5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5DE5EEB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Lower end </w:t>
            </w:r>
          </w:p>
        </w:tc>
        <w:tc>
          <w:tcPr>
            <w:tcW w:w="1449" w:type="dxa"/>
          </w:tcPr>
          <w:p w14:paraId="5902FC8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Clayey gravel</w:t>
            </w:r>
          </w:p>
        </w:tc>
        <w:tc>
          <w:tcPr>
            <w:tcW w:w="1970" w:type="dxa"/>
            <w:noWrap/>
          </w:tcPr>
          <w:p w14:paraId="629DB28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0.30</w:t>
            </w:r>
          </w:p>
        </w:tc>
      </w:tr>
      <w:tr w14:paraId="5DCB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2D3F21F">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67FC5B0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1/D47</w:t>
            </w:r>
          </w:p>
        </w:tc>
        <w:tc>
          <w:tcPr>
            <w:tcW w:w="1069" w:type="dxa"/>
            <w:vMerge w:val="restart"/>
          </w:tcPr>
          <w:p w14:paraId="573C746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662" w:type="dxa"/>
          </w:tcPr>
          <w:p w14:paraId="454B80D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7C9AB2F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55D1698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0.53</w:t>
            </w:r>
          </w:p>
        </w:tc>
      </w:tr>
      <w:tr w14:paraId="79D8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8262E9E">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BD73EE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1/D47</w:t>
            </w:r>
          </w:p>
        </w:tc>
        <w:tc>
          <w:tcPr>
            <w:tcW w:w="1069" w:type="dxa"/>
            <w:vMerge w:val="continue"/>
          </w:tcPr>
          <w:p w14:paraId="1B945BFD">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2599C45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170EFA4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34A35A9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0.42</w:t>
            </w:r>
          </w:p>
        </w:tc>
      </w:tr>
      <w:tr w14:paraId="1804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76131699">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5556E2C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1/D47</w:t>
            </w:r>
          </w:p>
        </w:tc>
        <w:tc>
          <w:tcPr>
            <w:tcW w:w="1069" w:type="dxa"/>
            <w:vMerge w:val="continue"/>
          </w:tcPr>
          <w:p w14:paraId="01475F4A">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2A1F4FA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tcPr>
          <w:p w14:paraId="0E40B01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62B0143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0.60</w:t>
            </w:r>
          </w:p>
        </w:tc>
      </w:tr>
      <w:tr w14:paraId="1982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2350D81">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853C4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restart"/>
            <w:noWrap/>
          </w:tcPr>
          <w:p w14:paraId="509FF31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1662" w:type="dxa"/>
          </w:tcPr>
          <w:p w14:paraId="233E37D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24EFFAB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2571CAE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0.53</w:t>
            </w:r>
          </w:p>
        </w:tc>
      </w:tr>
      <w:tr w14:paraId="52F7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3D6AE634">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90E23B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continue"/>
          </w:tcPr>
          <w:p w14:paraId="3E7E1B79">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06F0B69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5B98A8B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A8CB49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0.34</w:t>
            </w:r>
          </w:p>
        </w:tc>
      </w:tr>
      <w:tr w14:paraId="2ADE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E5ECD9F">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6602F31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continue"/>
          </w:tcPr>
          <w:p w14:paraId="1A35EC77">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21BD62E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tcPr>
          <w:p w14:paraId="7988114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740CD1E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0.51</w:t>
            </w:r>
          </w:p>
        </w:tc>
      </w:tr>
      <w:tr w14:paraId="3ADE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AD14340">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390DAFB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restart"/>
          </w:tcPr>
          <w:p w14:paraId="5D1BB60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662" w:type="dxa"/>
          </w:tcPr>
          <w:p w14:paraId="0B24337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06D74A2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clay</w:t>
            </w:r>
          </w:p>
        </w:tc>
        <w:tc>
          <w:tcPr>
            <w:tcW w:w="1970" w:type="dxa"/>
            <w:noWrap/>
          </w:tcPr>
          <w:p w14:paraId="0C447F8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0.44</w:t>
            </w:r>
          </w:p>
        </w:tc>
      </w:tr>
      <w:tr w14:paraId="4052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7759504A">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386A284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continue"/>
          </w:tcPr>
          <w:p w14:paraId="5B9846AB">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7BDBF94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40F69C2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clay</w:t>
            </w:r>
          </w:p>
        </w:tc>
        <w:tc>
          <w:tcPr>
            <w:tcW w:w="1970" w:type="dxa"/>
            <w:noWrap/>
          </w:tcPr>
          <w:p w14:paraId="4FD1D7D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0.96</w:t>
            </w:r>
          </w:p>
        </w:tc>
      </w:tr>
      <w:tr w14:paraId="7612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C5968AA">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7D110B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FC1/D47 LB</w:t>
            </w:r>
          </w:p>
        </w:tc>
        <w:tc>
          <w:tcPr>
            <w:tcW w:w="1069" w:type="dxa"/>
            <w:vMerge w:val="continue"/>
          </w:tcPr>
          <w:p w14:paraId="11ECCA52">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441A6AC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tcPr>
          <w:p w14:paraId="4480317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 Sandy clay</w:t>
            </w:r>
          </w:p>
        </w:tc>
        <w:tc>
          <w:tcPr>
            <w:tcW w:w="1970" w:type="dxa"/>
            <w:noWrap/>
          </w:tcPr>
          <w:p w14:paraId="04F6406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0.35</w:t>
            </w:r>
          </w:p>
        </w:tc>
      </w:tr>
      <w:tr w14:paraId="4BD2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3D72000A">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597856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Mailapitiya Canal</w:t>
            </w:r>
          </w:p>
        </w:tc>
        <w:tc>
          <w:tcPr>
            <w:tcW w:w="1069" w:type="dxa"/>
            <w:vMerge w:val="restart"/>
            <w:noWrap/>
          </w:tcPr>
          <w:p w14:paraId="78A00D8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Middle</w:t>
            </w:r>
          </w:p>
        </w:tc>
        <w:tc>
          <w:tcPr>
            <w:tcW w:w="1662" w:type="dxa"/>
            <w:noWrap/>
          </w:tcPr>
          <w:p w14:paraId="2F346A0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08D49B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clay</w:t>
            </w:r>
          </w:p>
        </w:tc>
        <w:tc>
          <w:tcPr>
            <w:tcW w:w="1970" w:type="dxa"/>
            <w:noWrap/>
          </w:tcPr>
          <w:p w14:paraId="5F57F15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0.85</w:t>
            </w:r>
          </w:p>
        </w:tc>
      </w:tr>
      <w:tr w14:paraId="735C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75ADF65">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5439079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Mailapitiya Canal</w:t>
            </w:r>
          </w:p>
        </w:tc>
        <w:tc>
          <w:tcPr>
            <w:tcW w:w="1069" w:type="dxa"/>
            <w:vMerge w:val="continue"/>
            <w:noWrap/>
          </w:tcPr>
          <w:p w14:paraId="2AE6481D">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F6942D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64364F2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1287809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0.39</w:t>
            </w:r>
          </w:p>
        </w:tc>
      </w:tr>
      <w:tr w14:paraId="0944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36B8D35">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10150F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Mailapitiya Canal</w:t>
            </w:r>
          </w:p>
        </w:tc>
        <w:tc>
          <w:tcPr>
            <w:tcW w:w="1069" w:type="dxa"/>
            <w:vMerge w:val="restart"/>
            <w:noWrap/>
          </w:tcPr>
          <w:p w14:paraId="2732C00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p w14:paraId="55B4FE2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00480E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67607FA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7C0D933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2FD4942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0.46</w:t>
            </w:r>
          </w:p>
        </w:tc>
      </w:tr>
      <w:tr w14:paraId="541D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64F881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0423F48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Mailapitiya Canal</w:t>
            </w:r>
          </w:p>
        </w:tc>
        <w:tc>
          <w:tcPr>
            <w:tcW w:w="1069" w:type="dxa"/>
            <w:vMerge w:val="continue"/>
            <w:noWrap/>
          </w:tcPr>
          <w:p w14:paraId="7268BEA6">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3766DDD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005869F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5AE6677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0.46</w:t>
            </w:r>
          </w:p>
        </w:tc>
      </w:tr>
      <w:tr w14:paraId="3DFC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5BF949F">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21B540C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Mailapitiya Canal</w:t>
            </w:r>
          </w:p>
        </w:tc>
        <w:tc>
          <w:tcPr>
            <w:tcW w:w="1069" w:type="dxa"/>
            <w:vMerge w:val="continue"/>
            <w:noWrap/>
          </w:tcPr>
          <w:p w14:paraId="4181C6F0">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2AB9C01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330A7F6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34C67ED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0.62</w:t>
            </w:r>
          </w:p>
        </w:tc>
      </w:tr>
      <w:tr w14:paraId="49B6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restart"/>
          </w:tcPr>
          <w:p w14:paraId="2700DB9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Hurulu Wewa</w:t>
            </w:r>
          </w:p>
        </w:tc>
        <w:tc>
          <w:tcPr>
            <w:tcW w:w="1564" w:type="dxa"/>
            <w:noWrap/>
          </w:tcPr>
          <w:p w14:paraId="66F49B2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1/D3</w:t>
            </w:r>
          </w:p>
        </w:tc>
        <w:tc>
          <w:tcPr>
            <w:tcW w:w="1069" w:type="dxa"/>
            <w:vMerge w:val="restart"/>
            <w:noWrap/>
          </w:tcPr>
          <w:p w14:paraId="03FEC5D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p w14:paraId="3951939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1D8D610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53CEF1C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451D27C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A8C76C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0.24</w:t>
            </w:r>
          </w:p>
        </w:tc>
      </w:tr>
      <w:tr w14:paraId="4A41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7BF60592">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8409F5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continue"/>
            <w:noWrap/>
          </w:tcPr>
          <w:p w14:paraId="522E66DC">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92CE8F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2AF29D9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3895148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0.17</w:t>
            </w:r>
          </w:p>
        </w:tc>
      </w:tr>
      <w:tr w14:paraId="1EE4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D25EC4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42E6760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continue"/>
            <w:noWrap/>
          </w:tcPr>
          <w:p w14:paraId="1E4AA54A">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30B3CAF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7C7D6F3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731F9D5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0.25</w:t>
            </w:r>
          </w:p>
        </w:tc>
      </w:tr>
      <w:tr w14:paraId="4141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FA42581">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673F9F7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restart"/>
            <w:noWrap/>
          </w:tcPr>
          <w:p w14:paraId="13F085A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p w14:paraId="1495190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16A709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2124968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13B035E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6A11A05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0.19</w:t>
            </w:r>
          </w:p>
        </w:tc>
      </w:tr>
      <w:tr w14:paraId="218F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44B633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B2ACA2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continue"/>
            <w:noWrap/>
          </w:tcPr>
          <w:p w14:paraId="23999CA6">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71B506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4DE8D09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77981CA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0.15</w:t>
            </w:r>
          </w:p>
        </w:tc>
      </w:tr>
      <w:tr w14:paraId="3161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64" w:type="dxa"/>
            <w:vMerge w:val="continue"/>
          </w:tcPr>
          <w:p w14:paraId="10B79D0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6F10A62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continue"/>
            <w:noWrap/>
          </w:tcPr>
          <w:p w14:paraId="6CC238D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720BB63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465A770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17945A8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0.12</w:t>
            </w:r>
          </w:p>
        </w:tc>
      </w:tr>
      <w:tr w14:paraId="1159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564" w:type="dxa"/>
            <w:vMerge w:val="continue"/>
          </w:tcPr>
          <w:p w14:paraId="07B15301">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8C9F85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restart"/>
            <w:noWrap/>
          </w:tcPr>
          <w:p w14:paraId="6B9C6B0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p w14:paraId="3567034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134CD0E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04F66E8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7CFB179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47C5FBC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0.17</w:t>
            </w:r>
          </w:p>
        </w:tc>
      </w:tr>
      <w:tr w14:paraId="0654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64" w:type="dxa"/>
            <w:vMerge w:val="continue"/>
          </w:tcPr>
          <w:p w14:paraId="2888447C">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0EB823F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1/D3</w:t>
            </w:r>
          </w:p>
        </w:tc>
        <w:tc>
          <w:tcPr>
            <w:tcW w:w="1069" w:type="dxa"/>
            <w:vMerge w:val="continue"/>
            <w:noWrap/>
          </w:tcPr>
          <w:p w14:paraId="49476E53">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460529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0E4CA4E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2D5DE63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0.15</w:t>
            </w:r>
          </w:p>
        </w:tc>
      </w:tr>
      <w:tr w14:paraId="5581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7738629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492A8BF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FC4/D3</w:t>
            </w:r>
          </w:p>
        </w:tc>
        <w:tc>
          <w:tcPr>
            <w:tcW w:w="1069" w:type="dxa"/>
            <w:vMerge w:val="restart"/>
            <w:noWrap/>
          </w:tcPr>
          <w:p w14:paraId="2BAC4A7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p w14:paraId="43FAF13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2C6AC4D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170D286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6ED3737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4100C49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0.11</w:t>
            </w:r>
          </w:p>
        </w:tc>
      </w:tr>
      <w:tr w14:paraId="6EEC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BFF63C4">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FA33D6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747690B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039AE4E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684CF1C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6AE5048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0.29</w:t>
            </w:r>
          </w:p>
        </w:tc>
      </w:tr>
      <w:tr w14:paraId="574D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05687CC">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62A45FB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56F9020A">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29D01E9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303147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6D9063B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0.18</w:t>
            </w:r>
          </w:p>
        </w:tc>
      </w:tr>
      <w:tr w14:paraId="58F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3A6661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1A7862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restart"/>
            <w:noWrap/>
          </w:tcPr>
          <w:p w14:paraId="2390ABC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p w14:paraId="19A5C5F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4C1AF59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414CFC1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4170D63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20D6516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0.14</w:t>
            </w:r>
          </w:p>
        </w:tc>
      </w:tr>
      <w:tr w14:paraId="62A5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340793F5">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1C3E26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72D1D020">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762A50B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506838E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495BD27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0.32</w:t>
            </w:r>
          </w:p>
        </w:tc>
      </w:tr>
      <w:tr w14:paraId="0A23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4F1CA4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4AE921B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6CBE435D">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A2B2C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454CF7E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34CF274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0.27</w:t>
            </w:r>
          </w:p>
        </w:tc>
      </w:tr>
      <w:tr w14:paraId="164D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5A557E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32ADA5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restart"/>
            <w:noWrap/>
          </w:tcPr>
          <w:p w14:paraId="3904422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p w14:paraId="3B8BB3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14AFC59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363ADC1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0B1A095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00E618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0.27</w:t>
            </w:r>
          </w:p>
        </w:tc>
      </w:tr>
      <w:tr w14:paraId="7C4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57D95DA">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5DEA8B6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09F296EC">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3A9482D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6E6C91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561B9C5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0.31</w:t>
            </w:r>
          </w:p>
        </w:tc>
      </w:tr>
      <w:tr w14:paraId="5646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55123E7">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14DB129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FC4/D3</w:t>
            </w:r>
          </w:p>
        </w:tc>
        <w:tc>
          <w:tcPr>
            <w:tcW w:w="1069" w:type="dxa"/>
            <w:vMerge w:val="continue"/>
            <w:noWrap/>
          </w:tcPr>
          <w:p w14:paraId="3364CAC7">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3CC3F64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44CCE92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0419365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0.15</w:t>
            </w:r>
          </w:p>
        </w:tc>
      </w:tr>
      <w:tr w14:paraId="3F6B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787FF1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6752E63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FC7/D3</w:t>
            </w:r>
          </w:p>
        </w:tc>
        <w:tc>
          <w:tcPr>
            <w:tcW w:w="1069" w:type="dxa"/>
            <w:vMerge w:val="restart"/>
            <w:noWrap/>
          </w:tcPr>
          <w:p w14:paraId="7257587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1662" w:type="dxa"/>
            <w:noWrap/>
          </w:tcPr>
          <w:p w14:paraId="1BE906A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55B0E43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7E312BD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0.30</w:t>
            </w:r>
          </w:p>
        </w:tc>
      </w:tr>
      <w:tr w14:paraId="1768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EFD61DB">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799FD89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FC7/D3</w:t>
            </w:r>
          </w:p>
        </w:tc>
        <w:tc>
          <w:tcPr>
            <w:tcW w:w="1069" w:type="dxa"/>
            <w:vMerge w:val="continue"/>
            <w:noWrap/>
          </w:tcPr>
          <w:p w14:paraId="0444DE05">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61060C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400B3AA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9D6FB0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0.12</w:t>
            </w:r>
          </w:p>
        </w:tc>
      </w:tr>
      <w:tr w14:paraId="6FCE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2C810F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04073E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FC7/D3</w:t>
            </w:r>
          </w:p>
        </w:tc>
        <w:tc>
          <w:tcPr>
            <w:tcW w:w="1069" w:type="dxa"/>
            <w:vMerge w:val="restart"/>
            <w:noWrap/>
          </w:tcPr>
          <w:p w14:paraId="5C88F9C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p w14:paraId="461FF40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386CF82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4779A2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2060AA8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377A745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0.38</w:t>
            </w:r>
          </w:p>
        </w:tc>
      </w:tr>
      <w:tr w14:paraId="75C8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ED8301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6BA038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FC7/D3</w:t>
            </w:r>
          </w:p>
        </w:tc>
        <w:tc>
          <w:tcPr>
            <w:tcW w:w="1069" w:type="dxa"/>
            <w:vMerge w:val="continue"/>
            <w:noWrap/>
          </w:tcPr>
          <w:p w14:paraId="492620B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56C2020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6BD5399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6E0FF8C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0.40</w:t>
            </w:r>
          </w:p>
        </w:tc>
      </w:tr>
      <w:tr w14:paraId="153B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30067C1E">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03D4642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FC7/D3</w:t>
            </w:r>
          </w:p>
        </w:tc>
        <w:tc>
          <w:tcPr>
            <w:tcW w:w="1069" w:type="dxa"/>
            <w:vMerge w:val="continue"/>
            <w:noWrap/>
          </w:tcPr>
          <w:p w14:paraId="0612795F">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0DC6DF2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216B59A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2E5BDD0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0.22</w:t>
            </w:r>
          </w:p>
        </w:tc>
      </w:tr>
      <w:tr w14:paraId="4D5E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restart"/>
          </w:tcPr>
          <w:p w14:paraId="36F56D7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Maduru Oya PDA</w:t>
            </w:r>
          </w:p>
        </w:tc>
        <w:tc>
          <w:tcPr>
            <w:tcW w:w="1564" w:type="dxa"/>
            <w:noWrap/>
          </w:tcPr>
          <w:p w14:paraId="00755C8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67/D6/104</w:t>
            </w:r>
          </w:p>
        </w:tc>
        <w:tc>
          <w:tcPr>
            <w:tcW w:w="1069" w:type="dxa"/>
            <w:vMerge w:val="restart"/>
          </w:tcPr>
          <w:p w14:paraId="316B68E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1662" w:type="dxa"/>
          </w:tcPr>
          <w:p w14:paraId="00A4592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3BFD46C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7E924B4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0.39</w:t>
            </w:r>
          </w:p>
        </w:tc>
      </w:tr>
      <w:tr w14:paraId="7310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84BEF9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24336DF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640F5F9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3CD33E8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0F11D77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3A83F30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0.48</w:t>
            </w:r>
          </w:p>
        </w:tc>
      </w:tr>
      <w:tr w14:paraId="6A2D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15FC13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61839CD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1125B43D">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6E8035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tcPr>
          <w:p w14:paraId="4790F87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1F99CBD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0.41</w:t>
            </w:r>
          </w:p>
        </w:tc>
      </w:tr>
      <w:tr w14:paraId="472C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D5E978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10E7709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restart"/>
          </w:tcPr>
          <w:p w14:paraId="19D6BE8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1662" w:type="dxa"/>
          </w:tcPr>
          <w:p w14:paraId="5E56FB1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49EB328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Sandy clay</w:t>
            </w:r>
          </w:p>
        </w:tc>
        <w:tc>
          <w:tcPr>
            <w:tcW w:w="1970" w:type="dxa"/>
            <w:noWrap/>
          </w:tcPr>
          <w:p w14:paraId="5EFDBC4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0.37</w:t>
            </w:r>
          </w:p>
        </w:tc>
      </w:tr>
      <w:tr w14:paraId="0B10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313CEE5">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9F4F49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5558370C">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34449A4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46E07F1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2D78B6F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0.43</w:t>
            </w:r>
          </w:p>
        </w:tc>
      </w:tr>
      <w:tr w14:paraId="06A0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F4A0864">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263099D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318A2804">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1C2DFE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tcPr>
          <w:p w14:paraId="2B8F98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3ECAD6D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0.41</w:t>
            </w:r>
          </w:p>
        </w:tc>
      </w:tr>
      <w:tr w14:paraId="4696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31F7F8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4A6C70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restart"/>
          </w:tcPr>
          <w:p w14:paraId="3D1A498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662" w:type="dxa"/>
          </w:tcPr>
          <w:p w14:paraId="3483551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tcPr>
          <w:p w14:paraId="2D647B7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Clayey sand</w:t>
            </w:r>
          </w:p>
        </w:tc>
        <w:tc>
          <w:tcPr>
            <w:tcW w:w="1970" w:type="dxa"/>
            <w:noWrap/>
          </w:tcPr>
          <w:p w14:paraId="02E281B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0.40</w:t>
            </w:r>
          </w:p>
        </w:tc>
      </w:tr>
      <w:tr w14:paraId="7341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0B2A9179">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7B1B8E1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6B2819D2">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7C73701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tcPr>
          <w:p w14:paraId="73A11F3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737659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0.32</w:t>
            </w:r>
          </w:p>
        </w:tc>
      </w:tr>
      <w:tr w14:paraId="2BE1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2A455E2">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tcPr>
          <w:p w14:paraId="357F98F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67/D6/104</w:t>
            </w:r>
          </w:p>
        </w:tc>
        <w:tc>
          <w:tcPr>
            <w:tcW w:w="1069" w:type="dxa"/>
            <w:vMerge w:val="continue"/>
          </w:tcPr>
          <w:p w14:paraId="7B1B273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tcPr>
          <w:p w14:paraId="5BBC8F1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tcPr>
          <w:p w14:paraId="6BCA806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52AC025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0.48</w:t>
            </w:r>
          </w:p>
        </w:tc>
      </w:tr>
      <w:tr w14:paraId="6550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60E17FD">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5BAEF8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restart"/>
            <w:noWrap/>
          </w:tcPr>
          <w:p w14:paraId="2879CB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p w14:paraId="7B6ADA81">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4D4D759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2FA5A72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clay</w:t>
            </w:r>
          </w:p>
        </w:tc>
        <w:tc>
          <w:tcPr>
            <w:tcW w:w="1970" w:type="dxa"/>
            <w:noWrap/>
          </w:tcPr>
          <w:p w14:paraId="0109857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0.34</w:t>
            </w:r>
          </w:p>
        </w:tc>
      </w:tr>
      <w:tr w14:paraId="3D66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ECC0601">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40F50B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continue"/>
            <w:noWrap/>
          </w:tcPr>
          <w:p w14:paraId="7A9976F1">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6C74E74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noWrap/>
          </w:tcPr>
          <w:p w14:paraId="5BDA30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5C79881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0.43</w:t>
            </w:r>
          </w:p>
        </w:tc>
      </w:tr>
      <w:tr w14:paraId="27AB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119DCD4">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839682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restart"/>
            <w:noWrap/>
          </w:tcPr>
          <w:p w14:paraId="6D32FC1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p w14:paraId="386E633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5343FBF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722744A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6781541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sand</w:t>
            </w:r>
          </w:p>
        </w:tc>
        <w:tc>
          <w:tcPr>
            <w:tcW w:w="1970" w:type="dxa"/>
            <w:noWrap/>
          </w:tcPr>
          <w:p w14:paraId="6783003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0.40</w:t>
            </w:r>
          </w:p>
        </w:tc>
      </w:tr>
      <w:tr w14:paraId="7FA1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70C9ADA6">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0417A9B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continue"/>
            <w:noWrap/>
          </w:tcPr>
          <w:p w14:paraId="1AD5FD30">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1E5EE70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39D1505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sand</w:t>
            </w:r>
          </w:p>
        </w:tc>
        <w:tc>
          <w:tcPr>
            <w:tcW w:w="1970" w:type="dxa"/>
            <w:noWrap/>
          </w:tcPr>
          <w:p w14:paraId="2E048CF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0.35</w:t>
            </w:r>
          </w:p>
        </w:tc>
      </w:tr>
      <w:tr w14:paraId="34E8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F4D6559">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3735FC7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continue"/>
            <w:noWrap/>
          </w:tcPr>
          <w:p w14:paraId="2D227795">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1E5264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noWrap/>
          </w:tcPr>
          <w:p w14:paraId="59EB0B4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 (high clay content)</w:t>
            </w:r>
          </w:p>
        </w:tc>
        <w:tc>
          <w:tcPr>
            <w:tcW w:w="1970" w:type="dxa"/>
            <w:noWrap/>
          </w:tcPr>
          <w:p w14:paraId="291C11F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0.45</w:t>
            </w:r>
          </w:p>
        </w:tc>
      </w:tr>
      <w:tr w14:paraId="077D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466FDC3">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5E221A0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restart"/>
            <w:noWrap/>
          </w:tcPr>
          <w:p w14:paraId="3E10BF5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p w14:paraId="3EBD069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099BF81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3F8A824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3FB4761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Gravelly clay</w:t>
            </w:r>
          </w:p>
        </w:tc>
        <w:tc>
          <w:tcPr>
            <w:tcW w:w="1970" w:type="dxa"/>
            <w:noWrap/>
          </w:tcPr>
          <w:p w14:paraId="092264B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0.33</w:t>
            </w:r>
          </w:p>
        </w:tc>
      </w:tr>
      <w:tr w14:paraId="3596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564" w:type="dxa"/>
            <w:vMerge w:val="continue"/>
          </w:tcPr>
          <w:p w14:paraId="70DB4057">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640481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continue"/>
            <w:noWrap/>
          </w:tcPr>
          <w:p w14:paraId="0B1A3ED9">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08E9CFE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0CDA2FF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Clayey gravel</w:t>
            </w:r>
          </w:p>
        </w:tc>
        <w:tc>
          <w:tcPr>
            <w:tcW w:w="1970" w:type="dxa"/>
            <w:noWrap/>
          </w:tcPr>
          <w:p w14:paraId="296F803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0.36</w:t>
            </w:r>
          </w:p>
        </w:tc>
      </w:tr>
      <w:tr w14:paraId="5837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1C029E8">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414932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 70/D6/104</w:t>
            </w:r>
          </w:p>
        </w:tc>
        <w:tc>
          <w:tcPr>
            <w:tcW w:w="1069" w:type="dxa"/>
            <w:vMerge w:val="continue"/>
            <w:noWrap/>
          </w:tcPr>
          <w:p w14:paraId="445E3242">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6CBAE7D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noWrap/>
          </w:tcPr>
          <w:p w14:paraId="595C0E9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Clayey gravel</w:t>
            </w:r>
          </w:p>
        </w:tc>
        <w:tc>
          <w:tcPr>
            <w:tcW w:w="1970" w:type="dxa"/>
            <w:noWrap/>
          </w:tcPr>
          <w:p w14:paraId="3BA8DD1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0.44</w:t>
            </w:r>
          </w:p>
        </w:tc>
      </w:tr>
      <w:tr w14:paraId="76CC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F5D7B1B">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7048ADE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FC63/SD1/D6/104</w:t>
            </w:r>
          </w:p>
        </w:tc>
        <w:tc>
          <w:tcPr>
            <w:tcW w:w="1069" w:type="dxa"/>
            <w:vMerge w:val="restart"/>
            <w:noWrap/>
          </w:tcPr>
          <w:p w14:paraId="7FA0842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p w14:paraId="6BADD6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6004470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1F26617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1E75DE5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2AE037E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0.19</w:t>
            </w:r>
          </w:p>
        </w:tc>
      </w:tr>
      <w:tr w14:paraId="5AB0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1E3192D9">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6EDB52F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FC63/SD1/D6/104</w:t>
            </w:r>
          </w:p>
        </w:tc>
        <w:tc>
          <w:tcPr>
            <w:tcW w:w="1069" w:type="dxa"/>
            <w:vMerge w:val="continue"/>
            <w:noWrap/>
          </w:tcPr>
          <w:p w14:paraId="6F09C5A8">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64F0C3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Intermediate</w:t>
            </w:r>
          </w:p>
        </w:tc>
        <w:tc>
          <w:tcPr>
            <w:tcW w:w="1449" w:type="dxa"/>
            <w:noWrap/>
          </w:tcPr>
          <w:p w14:paraId="038DCC3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71E0DDF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0.28</w:t>
            </w:r>
          </w:p>
        </w:tc>
      </w:tr>
      <w:tr w14:paraId="44F5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4B72A487">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081EAB0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FC63/SD1/D6/104</w:t>
            </w:r>
          </w:p>
        </w:tc>
        <w:tc>
          <w:tcPr>
            <w:tcW w:w="1069" w:type="dxa"/>
            <w:vMerge w:val="continue"/>
            <w:noWrap/>
          </w:tcPr>
          <w:p w14:paraId="1B951407">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412DFF2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1449" w:type="dxa"/>
            <w:noWrap/>
          </w:tcPr>
          <w:p w14:paraId="1CA22DE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14C782E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0.38</w:t>
            </w:r>
          </w:p>
        </w:tc>
      </w:tr>
      <w:tr w14:paraId="1589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26CCEACC">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1E585CB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FC63/SD1/D6/104</w:t>
            </w:r>
          </w:p>
        </w:tc>
        <w:tc>
          <w:tcPr>
            <w:tcW w:w="1069" w:type="dxa"/>
            <w:vMerge w:val="restart"/>
            <w:noWrap/>
          </w:tcPr>
          <w:p w14:paraId="34F6568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p w14:paraId="258FBBE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p w14:paraId="10862AB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w:t>
            </w:r>
          </w:p>
        </w:tc>
        <w:tc>
          <w:tcPr>
            <w:tcW w:w="1662" w:type="dxa"/>
            <w:noWrap/>
          </w:tcPr>
          <w:p w14:paraId="0621583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Upper end </w:t>
            </w:r>
          </w:p>
        </w:tc>
        <w:tc>
          <w:tcPr>
            <w:tcW w:w="1449" w:type="dxa"/>
            <w:noWrap/>
          </w:tcPr>
          <w:p w14:paraId="484216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2A65917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0.38</w:t>
            </w:r>
          </w:p>
        </w:tc>
      </w:tr>
      <w:tr w14:paraId="74B4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63717CBF">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13CB96F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FC63/SD1/D6/104</w:t>
            </w:r>
          </w:p>
        </w:tc>
        <w:tc>
          <w:tcPr>
            <w:tcW w:w="1069" w:type="dxa"/>
            <w:vMerge w:val="continue"/>
            <w:noWrap/>
          </w:tcPr>
          <w:p w14:paraId="046C1519">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4172018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noWrap/>
          </w:tcPr>
          <w:p w14:paraId="4DB065C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33DCB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0.49</w:t>
            </w:r>
          </w:p>
        </w:tc>
      </w:tr>
      <w:tr w14:paraId="4572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64" w:type="dxa"/>
            <w:vMerge w:val="continue"/>
          </w:tcPr>
          <w:p w14:paraId="584A0F84">
            <w:pPr>
              <w:spacing w:after="0" w:line="240" w:lineRule="auto"/>
              <w:jc w:val="both"/>
              <w:rPr>
                <w:rFonts w:hint="default" w:ascii="Times New Roman" w:hAnsi="Times New Roman" w:eastAsia="Times New Roman" w:cs="Times New Roman"/>
                <w:color w:val="auto"/>
                <w:sz w:val="15"/>
                <w:szCs w:val="15"/>
                <w:highlight w:val="none"/>
              </w:rPr>
            </w:pPr>
          </w:p>
        </w:tc>
        <w:tc>
          <w:tcPr>
            <w:tcW w:w="1564" w:type="dxa"/>
            <w:noWrap/>
          </w:tcPr>
          <w:p w14:paraId="2C422F0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FC63/SD1/D6/104</w:t>
            </w:r>
          </w:p>
        </w:tc>
        <w:tc>
          <w:tcPr>
            <w:tcW w:w="1069" w:type="dxa"/>
            <w:noWrap/>
          </w:tcPr>
          <w:p w14:paraId="389907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p w14:paraId="1DCA84FF">
            <w:pPr>
              <w:spacing w:after="0" w:line="240" w:lineRule="auto"/>
              <w:jc w:val="both"/>
              <w:rPr>
                <w:rFonts w:hint="default" w:ascii="Times New Roman" w:hAnsi="Times New Roman" w:eastAsia="Times New Roman" w:cs="Times New Roman"/>
                <w:color w:val="auto"/>
                <w:sz w:val="15"/>
                <w:szCs w:val="15"/>
                <w:highlight w:val="none"/>
              </w:rPr>
            </w:pPr>
          </w:p>
        </w:tc>
        <w:tc>
          <w:tcPr>
            <w:tcW w:w="1662" w:type="dxa"/>
            <w:noWrap/>
          </w:tcPr>
          <w:p w14:paraId="7D5CE28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Lower end</w:t>
            </w:r>
          </w:p>
        </w:tc>
        <w:tc>
          <w:tcPr>
            <w:tcW w:w="1449" w:type="dxa"/>
            <w:noWrap/>
          </w:tcPr>
          <w:p w14:paraId="6F6B7F9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Clay</w:t>
            </w:r>
          </w:p>
        </w:tc>
        <w:tc>
          <w:tcPr>
            <w:tcW w:w="1970" w:type="dxa"/>
            <w:noWrap/>
          </w:tcPr>
          <w:p w14:paraId="0A0A3A7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cs="Times New Roman"/>
                <w:color w:val="auto"/>
                <w:sz w:val="15"/>
                <w:szCs w:val="15"/>
                <w:highlight w:val="none"/>
              </w:rPr>
              <w:t>0.31</w:t>
            </w:r>
          </w:p>
        </w:tc>
      </w:tr>
    </w:tbl>
    <w:p w14:paraId="55DC5B87">
      <w:pPr>
        <w:spacing w:after="0" w:line="360" w:lineRule="auto"/>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16"/>
          <w:highlight w:val="none"/>
        </w:rPr>
        <w:t xml:space="preserve">Note: Textural descriptors were assigned in the field by augering and tactile assessment following the </w:t>
      </w:r>
      <w:r>
        <w:rPr>
          <w:rFonts w:hint="default" w:ascii="Times New Roman" w:hAnsi="Times New Roman" w:cs="Times New Roman"/>
          <w:color w:val="auto"/>
          <w:sz w:val="16"/>
          <w:highlight w:val="none"/>
        </w:rPr>
        <w:t>USDA soil</w:t>
      </w:r>
      <w:r>
        <w:rPr>
          <w:rFonts w:hint="default" w:ascii="Times New Roman" w:hAnsi="Times New Roman" w:cs="Times New Roman"/>
          <w:color w:val="auto"/>
          <w:sz w:val="16"/>
          <w:highlight w:val="none"/>
        </w:rPr>
        <w:t xml:space="preserve"> texture triangle </w:t>
      </w:r>
      <w:r>
        <w:rPr>
          <w:rFonts w:hint="default" w:ascii="Times New Roman" w:hAnsi="Times New Roman" w:cs="Times New Roman"/>
          <w:color w:val="auto"/>
          <w:sz w:val="16"/>
          <w:highlight w:val="none"/>
          <w:vertAlign w:val="superscript"/>
        </w:rPr>
        <w:t>[28]</w:t>
      </w:r>
      <w:r>
        <w:rPr>
          <w:rFonts w:hint="default" w:ascii="Times New Roman" w:hAnsi="Times New Roman" w:cs="Times New Roman"/>
          <w:color w:val="auto"/>
          <w:sz w:val="16"/>
          <w:highlight w:val="none"/>
        </w:rPr>
        <w:t>. The compound descriptors clayey gravel, gravelly clay, clayey sand and gravelly sand denote profiles in which a gravel or sand fraction was present in addition to the dominant textural class; they are field descriptors rather than formal USDA textural classes. Laboratory particle-size analysis was not performed.</w:t>
      </w:r>
    </w:p>
    <w:p w14:paraId="04E2FD82">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shd w:val="clear" w:color="auto" w:fill="FFFFFF"/>
        </w:rPr>
        <w:t>The parameters of the four equations determined by the line of best fit from the statistical analysis for the Minipe D 47 field canal are summarized</w:t>
      </w:r>
      <w:r>
        <w:rPr>
          <w:rFonts w:hint="default" w:ascii="Times New Roman" w:hAnsi="Times New Roman" w:cs="Times New Roman"/>
          <w:color w:val="auto"/>
          <w:sz w:val="21"/>
          <w:szCs w:val="21"/>
          <w:highlight w:val="none"/>
        </w:rPr>
        <w:t xml:space="preserve"> in </w:t>
      </w:r>
      <w:bookmarkStart w:id="9" w:name="_Hlk217823111"/>
      <w:r>
        <w:rPr>
          <w:rFonts w:hint="default" w:ascii="Times New Roman" w:hAnsi="Times New Roman" w:cs="Times New Roman"/>
          <w:color w:val="auto"/>
          <w:sz w:val="21"/>
          <w:szCs w:val="21"/>
          <w:highlight w:val="none"/>
          <w:lang w:eastAsia="zh-CN"/>
        </w:rPr>
        <w:t xml:space="preserve">Fig. </w:t>
      </w:r>
      <w:r>
        <w:rPr>
          <w:rFonts w:hint="default" w:ascii="Times New Roman" w:hAnsi="Times New Roman" w:cs="Times New Roman"/>
          <w:color w:val="auto"/>
          <w:sz w:val="21"/>
          <w:szCs w:val="21"/>
          <w:highlight w:val="none"/>
        </w:rPr>
        <w:t>4 (a)-(i)</w:t>
      </w:r>
      <w:bookmarkEnd w:id="9"/>
      <w:r>
        <w:rPr>
          <w:rFonts w:hint="default" w:ascii="Times New Roman" w:hAnsi="Times New Roman" w:cs="Times New Roman"/>
          <w:color w:val="auto"/>
          <w:sz w:val="21"/>
          <w:szCs w:val="21"/>
          <w:highlight w:val="none"/>
        </w:rPr>
        <w:t xml:space="preserve">. The values of each parameter were determined for all 61 farm-lot points (Fig. 5 for all other results). The fitted values of KOSTIAKOV’s parameter b ranged between 0.131 and 1.205, with 58 of the 61 values (95%) below unity, </w:t>
      </w:r>
      <w:r>
        <w:rPr>
          <w:rFonts w:hint="default" w:ascii="Times New Roman" w:hAnsi="Times New Roman" w:cs="Times New Roman"/>
          <w:color w:val="auto"/>
          <w:sz w:val="21"/>
          <w:szCs w:val="21"/>
          <w:highlight w:val="none"/>
          <w:shd w:val="clear" w:color="auto" w:fill="FFFFFF"/>
        </w:rPr>
        <w:t>which is broadly consistent with infiltration theory, which requires b to be positive and less than unity; the three values marginally exceeding unity occurred at points where the measured curve was still declining at the end of the 2 h test window</w:t>
      </w:r>
      <w:r>
        <w:rPr>
          <w:rFonts w:hint="default" w:ascii="Times New Roman" w:hAnsi="Times New Roman" w:cs="Times New Roman"/>
          <w:color w:val="auto"/>
          <w:sz w:val="21"/>
          <w:szCs w:val="21"/>
          <w:highlight w:val="none"/>
        </w:rPr>
        <w:t xml:space="preserve"> </w:t>
      </w:r>
      <w:sdt>
        <w:sdtPr>
          <w:rPr>
            <w:rFonts w:hint="default" w:ascii="Times New Roman" w:hAnsi="Times New Roman" w:cs="Times New Roman"/>
            <w:color w:val="auto"/>
            <w:sz w:val="21"/>
            <w:szCs w:val="21"/>
            <w:highlight w:val="none"/>
          </w:rPr>
          <w:id w:val="602005830"/>
        </w:sdtPr>
        <w:sdtEndPr>
          <w:rPr>
            <w:rFonts w:hint="default" w:ascii="Times New Roman" w:hAnsi="Times New Roman" w:cs="Times New Roman"/>
            <w:color w:val="auto"/>
            <w:sz w:val="21"/>
            <w:szCs w:val="21"/>
            <w:highlight w:val="none"/>
          </w:rPr>
        </w:sdtEndPr>
        <w:sdtContent>
          <w:r>
            <w:rPr>
              <w:rFonts w:hint="default" w:ascii="Times New Roman" w:hAnsi="Times New Roman" w:cs="Times New Roman"/>
              <w:color w:val="auto"/>
              <w:sz w:val="21"/>
              <w:szCs w:val="21"/>
              <w:highlight w:val="none"/>
              <w:vertAlign w:val="superscript"/>
            </w:rPr>
            <w:t>[4]</w:t>
          </w:r>
        </w:sdtContent>
      </w:sdt>
      <w:r>
        <w:rPr>
          <w:rFonts w:hint="default" w:ascii="Times New Roman" w:hAnsi="Times New Roman" w:cs="Times New Roman"/>
          <w:color w:val="auto"/>
          <w:sz w:val="21"/>
          <w:szCs w:val="21"/>
          <w:highlight w:val="none"/>
        </w:rPr>
        <w:t>. The sorptivity obtained from PHILIP’s model averaged 0.374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xml:space="preserve"> compliance with the </w:t>
      </w:r>
      <m:oMath>
        <m:r>
          <m:rPr>
            <m:nor/>
          </m:rPr>
          <w:rPr>
            <w:rFonts w:hint="default" w:ascii="DejaVu Math TeX Gyre" w:hAnsi="DejaVu Math TeX Gyre" w:cs="Times New Roman"/>
            <w:i/>
            <w:color w:val="auto"/>
            <w:sz w:val="21"/>
            <w:szCs w:val="21"/>
            <w:highlight w:val="none"/>
          </w:rPr>
          <m:t>s</m:t>
        </m:r>
      </m:oMath>
      <w:r>
        <w:rPr>
          <w:rFonts w:hint="default" w:ascii="Times New Roman" w:hAnsi="Times New Roman" w:cs="Times New Roman"/>
          <w:color w:val="auto"/>
          <w:sz w:val="21"/>
          <w:szCs w:val="21"/>
          <w:highlight w:val="none"/>
        </w:rPr>
        <w:t xml:space="preserve"> value estimated in alluvial clay as 0.5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vertAlign w:val="superscript"/>
        </w:rPr>
        <w:t>[32</w:t>
      </w:r>
      <w:r>
        <w:rPr>
          <w:rFonts w:hint="default" w:ascii="Times New Roman" w:hAnsi="Times New Roman" w:cs="Times New Roman" w:eastAsiaTheme="minorEastAsia"/>
          <w:color w:val="auto"/>
          <w:sz w:val="21"/>
          <w:szCs w:val="21"/>
          <w:highlight w:val="none"/>
          <w:vertAlign w:val="superscript"/>
          <w:lang w:eastAsia="zh-CN"/>
        </w:rPr>
        <w:t>-33</w:t>
      </w:r>
      <w:r>
        <w:rPr>
          <w:rFonts w:hint="default" w:ascii="Times New Roman" w:hAnsi="Times New Roman" w:cs="Times New Roman"/>
          <w:color w:val="auto"/>
          <w:sz w:val="21"/>
          <w:szCs w:val="21"/>
          <w:highlight w:val="none"/>
          <w:vertAlign w:val="superscript"/>
        </w:rPr>
        <w:t>]</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and values observed in silt and loam between 0.35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xml:space="preserve"> and 0.4 cm/h</w:t>
      </w:r>
      <w:r>
        <w:rPr>
          <w:rFonts w:hint="default" w:ascii="Times New Roman" w:hAnsi="Times New Roman" w:cs="Times New Roman"/>
          <w:color w:val="auto"/>
          <w:sz w:val="21"/>
          <w:szCs w:val="21"/>
          <w:highlight w:val="none"/>
          <w:vertAlign w:val="superscript"/>
        </w:rPr>
        <w:t xml:space="preserve">0.5 </w:t>
      </w:r>
      <w:sdt>
        <w:sdtPr>
          <w:rPr>
            <w:rFonts w:hint="default" w:ascii="Times New Roman" w:hAnsi="Times New Roman" w:cs="Times New Roman"/>
            <w:color w:val="auto"/>
            <w:sz w:val="21"/>
            <w:szCs w:val="21"/>
            <w:highlight w:val="none"/>
            <w:vertAlign w:val="superscript"/>
          </w:rPr>
          <w:id w:val="355179575"/>
        </w:sdtPr>
        <w:sdtEndPr>
          <w:rPr>
            <w:rFonts w:hint="default" w:ascii="Times New Roman" w:hAnsi="Times New Roman" w:cs="Times New Roman"/>
            <w:color w:val="auto"/>
            <w:sz w:val="21"/>
            <w:szCs w:val="21"/>
            <w:highlight w:val="none"/>
            <w:vertAlign w:val="superscript"/>
          </w:rPr>
        </w:sdtEndPr>
        <w:sdtContent>
          <w:r>
            <w:rPr>
              <w:rFonts w:hint="default" w:ascii="Times New Roman" w:hAnsi="Times New Roman" w:cs="Times New Roman"/>
              <w:color w:val="auto"/>
              <w:sz w:val="21"/>
              <w:szCs w:val="21"/>
              <w:highlight w:val="none"/>
              <w:vertAlign w:val="superscript"/>
            </w:rPr>
            <w:t>[25]</w:t>
          </w:r>
        </w:sdtContent>
      </w:sdt>
      <w:r>
        <w:rPr>
          <w:rFonts w:hint="default" w:ascii="Times New Roman" w:hAnsi="Times New Roman" w:cs="Times New Roman"/>
          <w:color w:val="auto"/>
          <w:sz w:val="21"/>
          <w:szCs w:val="21"/>
          <w:highlight w:val="none"/>
        </w:rPr>
        <w:t>. In addition, the hydraulic conductivity (</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 xml:space="preserve">) was highest (0.463 cm/h) in Minipe D47 which contains sandy clay, and minimum as 0.011 cm/h was recorded in the Maduru Oya PDA (FC 70/D6/104) which has highly clay soil by confirming that </w:t>
      </w:r>
      <m:oMath>
        <m:r>
          <m:rPr>
            <m:nor/>
          </m:rPr>
          <w:rPr>
            <w:rFonts w:hint="default" w:ascii="DejaVu Math TeX Gyre" w:hAnsi="DejaVu Math TeX Gyre" w:cs="Times New Roman"/>
            <w:i/>
            <w:color w:val="auto"/>
            <w:sz w:val="21"/>
            <w:szCs w:val="21"/>
            <w:highlight w:val="none"/>
          </w:rPr>
          <m:t>K</m:t>
        </m:r>
      </m:oMath>
      <w:r>
        <w:rPr>
          <w:rFonts w:hint="default" w:ascii="Times New Roman" w:hAnsi="Times New Roman" w:cs="Times New Roman"/>
          <w:color w:val="auto"/>
          <w:sz w:val="21"/>
          <w:szCs w:val="21"/>
          <w:highlight w:val="none"/>
        </w:rPr>
        <w:t xml:space="preserve"> value reduces from gravelly soil to clayey soil</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[34]</w:t>
      </w:r>
      <w:r>
        <w:rPr>
          <w:rFonts w:hint="default" w:ascii="Times New Roman" w:hAnsi="Times New Roman" w:cs="Times New Roman"/>
          <w:color w:val="auto"/>
          <w:sz w:val="21"/>
          <w:szCs w:val="21"/>
          <w:highlight w:val="none"/>
        </w:rPr>
        <w:t xml:space="preserve">. Further,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K</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color w:val="auto"/>
                <w:sz w:val="21"/>
                <w:szCs w:val="21"/>
                <w:highlight w:val="none"/>
              </w:rPr>
              <m:t>h</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was shown as 3.730 min</w:t>
      </w:r>
      <w:r>
        <w:rPr>
          <w:rFonts w:hint="default" w:ascii="Times New Roman" w:hAnsi="Times New Roman" w:cs="Times New Roman"/>
          <w:color w:val="auto"/>
          <w:sz w:val="21"/>
          <w:szCs w:val="21"/>
          <w:highlight w:val="none"/>
          <w:vertAlign w:val="superscript"/>
        </w:rPr>
        <w:t>-1</w:t>
      </w:r>
      <w:r>
        <w:rPr>
          <w:rFonts w:hint="default" w:ascii="Times New Roman" w:hAnsi="Times New Roman" w:cs="Times New Roman"/>
          <w:color w:val="auto"/>
          <w:sz w:val="21"/>
          <w:szCs w:val="21"/>
          <w:highlight w:val="none"/>
        </w:rPr>
        <w:t xml:space="preserve"> to 3.730 min</w:t>
      </w:r>
      <w:r>
        <w:rPr>
          <w:rFonts w:hint="default" w:ascii="Times New Roman" w:hAnsi="Times New Roman" w:cs="Times New Roman"/>
          <w:color w:val="auto"/>
          <w:sz w:val="21"/>
          <w:szCs w:val="21"/>
          <w:highlight w:val="none"/>
          <w:vertAlign w:val="superscript"/>
        </w:rPr>
        <w:t>-1</w:t>
      </w:r>
      <w:r>
        <w:rPr>
          <w:rFonts w:hint="default" w:ascii="Times New Roman" w:hAnsi="Times New Roman" w:cs="Times New Roman"/>
          <w:color w:val="auto"/>
          <w:sz w:val="21"/>
          <w:szCs w:val="21"/>
          <w:highlight w:val="none"/>
        </w:rPr>
        <w:t xml:space="preserve">. These values are reliable as per the range </w:t>
      </w:r>
      <m:oMath>
        <m:sSub>
          <m:sSubPr>
            <m:ctrlPr>
              <w:rPr>
                <w:rFonts w:hint="default" w:ascii="DejaVu Math TeX Gyre" w:hAnsi="DejaVu Math TeX Gyre" w:cs="Times New Roman"/>
                <w:i/>
                <w:color w:val="auto"/>
                <w:sz w:val="21"/>
                <w:szCs w:val="21"/>
                <w:highlight w:val="none"/>
              </w:rPr>
            </m:ctrlPr>
          </m:sSubPr>
          <m:e>
            <m:r>
              <m:rPr>
                <m:nor/>
              </m:rPr>
              <w:rPr>
                <w:rFonts w:hint="default" w:ascii="DejaVu Math TeX Gyre" w:hAnsi="DejaVu Math TeX Gyre" w:cs="Times New Roman"/>
                <w:i/>
                <w:color w:val="auto"/>
                <w:sz w:val="21"/>
                <w:szCs w:val="21"/>
                <w:highlight w:val="none"/>
              </w:rPr>
              <m:t>K</m:t>
            </m:r>
            <m:ctrlPr>
              <w:rPr>
                <w:rFonts w:hint="default" w:ascii="DejaVu Math TeX Gyre" w:hAnsi="DejaVu Math TeX Gyre" w:cs="Times New Roman"/>
                <w:i/>
                <w:color w:val="auto"/>
                <w:sz w:val="21"/>
                <w:szCs w:val="21"/>
                <w:highlight w:val="none"/>
              </w:rPr>
            </m:ctrlPr>
          </m:e>
          <m:sub>
            <m:r>
              <m:rPr>
                <m:nor/>
                <m:sty m:val="p"/>
              </m:rPr>
              <w:rPr>
                <w:rFonts w:hint="default" w:ascii="DejaVu Math TeX Gyre" w:hAnsi="DejaVu Math TeX Gyre" w:cs="Times New Roman"/>
                <w:color w:val="auto"/>
                <w:sz w:val="21"/>
                <w:szCs w:val="21"/>
                <w:highlight w:val="none"/>
              </w:rPr>
              <m:t>h</m:t>
            </m:r>
            <m:ctrlPr>
              <w:rPr>
                <w:rFonts w:hint="default" w:ascii="DejaVu Math TeX Gyre" w:hAnsi="DejaVu Math TeX Gyre" w:cs="Times New Roman"/>
                <w:i/>
                <w:color w:val="auto"/>
                <w:sz w:val="21"/>
                <w:szCs w:val="21"/>
                <w:highlight w:val="none"/>
              </w:rPr>
            </m:ctrlPr>
          </m:sub>
        </m:sSub>
      </m:oMath>
      <w:r>
        <w:rPr>
          <w:rFonts w:hint="default" w:ascii="Times New Roman" w:hAnsi="Times New Roman" w:cs="Times New Roman"/>
          <w:color w:val="auto"/>
          <w:sz w:val="21"/>
          <w:szCs w:val="21"/>
          <w:highlight w:val="none"/>
        </w:rPr>
        <w:t xml:space="preserve"> value range observed in clayey soil by </w:t>
      </w:r>
      <w:r>
        <w:rPr>
          <w:rFonts w:hint="default" w:ascii="Times New Roman" w:hAnsi="Times New Roman" w:cs="Times New Roman"/>
          <w:color w:val="auto"/>
          <w:sz w:val="21"/>
          <w:szCs w:val="21"/>
          <w:highlight w:val="none"/>
        </w:rPr>
        <w:t>PITT</w:t>
      </w:r>
      <w:r>
        <w:rPr>
          <w:rFonts w:hint="default" w:ascii="Times New Roman" w:hAnsi="Times New Roman" w:cs="Times New Roman"/>
          <w:color w:val="auto"/>
          <w:sz w:val="21"/>
          <w:szCs w:val="21"/>
          <w:highlight w:val="none"/>
        </w:rPr>
        <w:t xml:space="preserve"> et al. </w:t>
      </w:r>
      <w:r>
        <w:rPr>
          <w:rFonts w:hint="default" w:ascii="Times New Roman" w:hAnsi="Times New Roman" w:cs="Times New Roman"/>
          <w:color w:val="auto"/>
          <w:sz w:val="21"/>
          <w:szCs w:val="21"/>
          <w:highlight w:val="none"/>
          <w:vertAlign w:val="superscript"/>
        </w:rPr>
        <w:t>[35]</w:t>
      </w:r>
      <w:r>
        <w:rPr>
          <w:rFonts w:hint="default" w:ascii="Times New Roman" w:hAnsi="Times New Roman" w:cs="Times New Roman"/>
          <w:color w:val="auto"/>
          <w:sz w:val="21"/>
          <w:szCs w:val="21"/>
          <w:highlight w:val="none"/>
        </w:rPr>
        <w:t xml:space="preserve">. Moreover, initial infiltration exceeded final infiltration at 56 of the 61 points according to the results of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’s model as demonstrated by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color w:val="auto"/>
          <w:sz w:val="21"/>
          <w:szCs w:val="21"/>
          <w:highlight w:val="none"/>
          <w:vertAlign w:val="superscript"/>
        </w:rPr>
        <w:t>[36]</w:t>
      </w:r>
      <w:r>
        <w:rPr>
          <w:rFonts w:hint="default" w:ascii="Times New Roman" w:hAnsi="Times New Roman" w:cs="Times New Roman"/>
          <w:color w:val="auto"/>
          <w:sz w:val="21"/>
          <w:szCs w:val="21"/>
          <w:highlight w:val="none"/>
        </w:rPr>
        <w:t>. I</w:t>
      </w:r>
      <w:r>
        <w:rPr>
          <w:rFonts w:hint="default" w:ascii="Times New Roman" w:hAnsi="Times New Roman" w:cs="Times New Roman"/>
          <w:color w:val="auto"/>
          <w:sz w:val="21"/>
          <w:szCs w:val="21"/>
          <w:highlight w:val="none"/>
          <w:shd w:val="clear" w:color="auto" w:fill="FFFFFF"/>
        </w:rPr>
        <w:t>nitially, infiltration occurs rapidly because the soil is unsaturated and the matric potential gradient is steep; over time the rate decreases as the profile wets up, approaching a lower steady value. At the five remaining points the fitted initial rate did not exceed the fitted final rate, a combination that is physically inadmissible in HORTON’s formulation and which arises where the observed curve had not yet flattened within the measurement window</w:t>
      </w:r>
      <w:r>
        <w:rPr>
          <w:rFonts w:hint="default" w:ascii="Times New Roman" w:hAnsi="Times New Roman" w:cs="Times New Roman"/>
          <w:color w:val="auto"/>
          <w:sz w:val="21"/>
          <w:szCs w:val="21"/>
          <w:highlight w:val="none"/>
        </w:rPr>
        <w:t xml:space="preserve">. </w:t>
      </w:r>
    </w:p>
    <w:tbl>
      <w:tblPr>
        <w:tblStyle w:val="88"/>
        <w:tblW w:w="0" w:type="auto"/>
        <w:tblInd w:w="0" w:type="dxa"/>
        <w:tblLayout w:type="autofit"/>
        <w:tblCellMar>
          <w:top w:w="0" w:type="dxa"/>
          <w:left w:w="108" w:type="dxa"/>
          <w:bottom w:w="0" w:type="dxa"/>
          <w:right w:w="108" w:type="dxa"/>
        </w:tblCellMar>
      </w:tblPr>
      <w:tblGrid>
        <w:gridCol w:w="9016"/>
      </w:tblGrid>
      <w:tr w14:paraId="458B8509">
        <w:tblPrEx>
          <w:tblCellMar>
            <w:top w:w="0" w:type="dxa"/>
            <w:left w:w="108" w:type="dxa"/>
            <w:bottom w:w="0" w:type="dxa"/>
            <w:right w:w="108" w:type="dxa"/>
          </w:tblCellMar>
        </w:tblPrEx>
        <w:tc>
          <w:tcPr>
            <w:tcW w:w="9016" w:type="dxa"/>
          </w:tcPr>
          <w:p w14:paraId="2F42E3C2">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678680" cy="2853055"/>
                  <wp:effectExtent l="4445" t="4445" r="22225" b="19050"/>
                  <wp:docPr id="88979085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B97A08">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(a) HORTON's model parameter, kh</w:t>
            </w:r>
          </w:p>
        </w:tc>
      </w:tr>
      <w:tr w14:paraId="113938BB">
        <w:tblPrEx>
          <w:tblCellMar>
            <w:top w:w="0" w:type="dxa"/>
            <w:left w:w="108" w:type="dxa"/>
            <w:bottom w:w="0" w:type="dxa"/>
            <w:right w:w="108" w:type="dxa"/>
          </w:tblCellMar>
        </w:tblPrEx>
        <w:tc>
          <w:tcPr>
            <w:tcW w:w="9016" w:type="dxa"/>
            <w:shd w:val="clear" w:color="auto" w:fill="F1F1F1" w:themeFill="background1" w:themeFillShade="F2"/>
          </w:tcPr>
          <w:p w14:paraId="0843EADB">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676775" cy="3170555"/>
                  <wp:effectExtent l="4445" t="4445" r="5080" b="6350"/>
                  <wp:docPr id="148229069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F4911B5">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(b) HORTON's model parameter, fo</w:t>
            </w:r>
          </w:p>
        </w:tc>
      </w:tr>
      <w:tr w14:paraId="5FDD8DA3">
        <w:tblPrEx>
          <w:tblCellMar>
            <w:top w:w="0" w:type="dxa"/>
            <w:left w:w="108" w:type="dxa"/>
            <w:bottom w:w="0" w:type="dxa"/>
            <w:right w:w="108" w:type="dxa"/>
          </w:tblCellMar>
        </w:tblPrEx>
        <w:tc>
          <w:tcPr>
            <w:tcW w:w="9016" w:type="dxa"/>
          </w:tcPr>
          <w:p w14:paraId="73A3B35A">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739640" cy="3054350"/>
                  <wp:effectExtent l="4445" t="4445" r="18415" b="8255"/>
                  <wp:docPr id="64252019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2A2BC3">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(c) HORTON's model parameter, fc</w:t>
            </w:r>
          </w:p>
        </w:tc>
      </w:tr>
      <w:tr w14:paraId="5058F278">
        <w:tc>
          <w:tcPr>
            <w:tcW w:w="9016" w:type="dxa"/>
            <w:shd w:val="clear" w:color="auto" w:fill="F1F1F1" w:themeFill="background1" w:themeFillShade="F2"/>
          </w:tcPr>
          <w:p w14:paraId="14F92AE9">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756785" cy="3074670"/>
                  <wp:effectExtent l="4445" t="4445" r="20320" b="6985"/>
                  <wp:docPr id="24466888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978F16">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(d) PHILIP's model parameter, K</w:t>
            </w:r>
          </w:p>
        </w:tc>
      </w:tr>
      <w:tr w14:paraId="5E3FB804">
        <w:tblPrEx>
          <w:tblCellMar>
            <w:top w:w="0" w:type="dxa"/>
            <w:left w:w="108" w:type="dxa"/>
            <w:bottom w:w="0" w:type="dxa"/>
            <w:right w:w="108" w:type="dxa"/>
          </w:tblCellMar>
        </w:tblPrEx>
        <w:tc>
          <w:tcPr>
            <w:tcW w:w="9016" w:type="dxa"/>
          </w:tcPr>
          <w:p w14:paraId="4E56385B">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686300" cy="3079750"/>
                  <wp:effectExtent l="4445" t="5080" r="14605" b="20320"/>
                  <wp:docPr id="1499225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6358517">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(e) PHILIP's model parameter, S</w:t>
            </w:r>
          </w:p>
        </w:tc>
      </w:tr>
      <w:tr w14:paraId="6528862A">
        <w:tblPrEx>
          <w:tblCellMar>
            <w:top w:w="0" w:type="dxa"/>
            <w:left w:w="108" w:type="dxa"/>
            <w:bottom w:w="0" w:type="dxa"/>
            <w:right w:w="108" w:type="dxa"/>
          </w:tblCellMar>
        </w:tblPrEx>
        <w:tc>
          <w:tcPr>
            <w:tcW w:w="9016" w:type="dxa"/>
            <w:shd w:val="clear" w:color="auto" w:fill="F1F1F1" w:themeFill="background1" w:themeFillShade="F2"/>
          </w:tcPr>
          <w:p w14:paraId="543A61F9">
            <w:pPr>
              <w:spacing w:after="0" w:line="360" w:lineRule="auto"/>
              <w:jc w:val="both"/>
              <w:rPr>
                <w:rFonts w:hint="default" w:ascii="Times New Roman" w:hAnsi="Times New Roman" w:cs="Times New Roman"/>
                <w:b w:val="0"/>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4684395" cy="3061970"/>
                  <wp:effectExtent l="4445" t="4445" r="16510" b="19685"/>
                  <wp:docPr id="1727397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9AF7FD">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(f) KOSTIAKOV's model parameter, a</w:t>
            </w:r>
          </w:p>
        </w:tc>
      </w:tr>
      <w:tr w14:paraId="31C0B96D">
        <w:tblPrEx>
          <w:tblCellMar>
            <w:top w:w="0" w:type="dxa"/>
            <w:left w:w="108" w:type="dxa"/>
            <w:bottom w:w="0" w:type="dxa"/>
            <w:right w:w="108" w:type="dxa"/>
          </w:tblCellMar>
        </w:tblPrEx>
        <w:tc>
          <w:tcPr>
            <w:tcW w:w="9016" w:type="dxa"/>
          </w:tcPr>
          <w:p w14:paraId="0CB255BD">
            <w:pPr>
              <w:spacing w:after="0" w:line="36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671060" cy="2747645"/>
                  <wp:effectExtent l="4445" t="4445" r="10795" b="10160"/>
                  <wp:docPr id="2963833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AEC4CD">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(g) KOSTIAKOV's model parameter, b</w:t>
            </w:r>
          </w:p>
        </w:tc>
      </w:tr>
      <w:tr w14:paraId="6689B849">
        <w:tc>
          <w:tcPr>
            <w:tcW w:w="9016" w:type="dxa"/>
            <w:shd w:val="clear" w:color="auto" w:fill="F1F1F1" w:themeFill="background1" w:themeFillShade="F2"/>
          </w:tcPr>
          <w:p w14:paraId="199AB2CC">
            <w:pPr>
              <w:spacing w:after="0" w:line="36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688205" cy="2960370"/>
                  <wp:effectExtent l="4445" t="4445" r="12700" b="6985"/>
                  <wp:docPr id="19097465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FA2C7E">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(h)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n</w:t>
            </w:r>
          </w:p>
        </w:tc>
      </w:tr>
      <w:tr w14:paraId="3E664B7E">
        <w:tblPrEx>
          <w:tblCellMar>
            <w:top w:w="0" w:type="dxa"/>
            <w:left w:w="108" w:type="dxa"/>
            <w:bottom w:w="0" w:type="dxa"/>
            <w:right w:w="108" w:type="dxa"/>
          </w:tblCellMar>
        </w:tblPrEx>
        <w:tc>
          <w:tcPr>
            <w:tcW w:w="9016" w:type="dxa"/>
          </w:tcPr>
          <w:p w14:paraId="06746296">
            <w:pPr>
              <w:spacing w:after="0" w:line="36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667250" cy="2745105"/>
                  <wp:effectExtent l="4445" t="5080" r="14605" b="12065"/>
                  <wp:docPr id="120751566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4215928">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(i)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m</w:t>
            </w:r>
          </w:p>
        </w:tc>
      </w:tr>
    </w:tbl>
    <w:p w14:paraId="756AF344">
      <w:pPr>
        <w:spacing w:after="0" w:line="360" w:lineRule="auto"/>
        <w:jc w:val="center"/>
        <w:rPr>
          <w:rFonts w:hint="default" w:ascii="Times New Roman" w:hAnsi="Times New Roman" w:cs="Times New Roman"/>
          <w:color w:val="auto"/>
          <w:sz w:val="18"/>
          <w:szCs w:val="18"/>
          <w:highlight w:val="none"/>
          <w:lang w:eastAsia="zh-CN"/>
        </w:rPr>
      </w:pPr>
      <w:bookmarkStart w:id="10" w:name="_Hlk217823197"/>
      <w:r>
        <w:rPr>
          <w:rFonts w:hint="default" w:ascii="Times New Roman" w:hAnsi="Times New Roman" w:cs="Times New Roman"/>
          <w:color w:val="auto"/>
          <w:sz w:val="18"/>
          <w:szCs w:val="18"/>
          <w:highlight w:val="none"/>
          <w:lang w:eastAsia="zh-CN"/>
        </w:rPr>
        <w:t>Fig. 4</w:t>
      </w:r>
      <w:r>
        <w:rPr>
          <w:rFonts w:hint="default" w:ascii="Times New Roman" w:hAnsi="Times New Roman" w:cs="Times New Roman"/>
          <w:color w:val="auto"/>
          <w:sz w:val="18"/>
          <w:szCs w:val="18"/>
          <w:highlight w:val="none"/>
          <w:lang w:val="en-US" w:eastAsia="zh-CN"/>
        </w:rPr>
        <w:t xml:space="preserve"> </w:t>
      </w:r>
      <w:r>
        <w:rPr>
          <w:rFonts w:hint="default" w:ascii="Times New Roman" w:hAnsi="Times New Roman" w:cs="Times New Roman"/>
          <w:color w:val="auto"/>
          <w:sz w:val="18"/>
          <w:szCs w:val="18"/>
          <w:highlight w:val="none"/>
          <w:lang w:eastAsia="zh-CN"/>
        </w:rPr>
        <w:t xml:space="preserve"> Fitted infiltration model parameters for Minipe D47</w:t>
      </w:r>
    </w:p>
    <w:p w14:paraId="121BC8F6">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图4</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Minipe D47的拟合入渗模型参数</w:t>
      </w:r>
    </w:p>
    <w:tbl>
      <w:tblPr>
        <w:tblStyle w:val="88"/>
        <w:tblW w:w="0" w:type="auto"/>
        <w:tblInd w:w="0" w:type="dxa"/>
        <w:tblLayout w:type="autofit"/>
        <w:tblCellMar>
          <w:top w:w="0" w:type="dxa"/>
          <w:left w:w="108" w:type="dxa"/>
          <w:bottom w:w="0" w:type="dxa"/>
          <w:right w:w="108" w:type="dxa"/>
        </w:tblCellMar>
      </w:tblPr>
      <w:tblGrid>
        <w:gridCol w:w="9016"/>
      </w:tblGrid>
      <w:tr w14:paraId="5D3F14CB">
        <w:tblPrEx>
          <w:tblCellMar>
            <w:top w:w="0" w:type="dxa"/>
            <w:left w:w="108" w:type="dxa"/>
            <w:bottom w:w="0" w:type="dxa"/>
            <w:right w:w="108" w:type="dxa"/>
          </w:tblCellMar>
        </w:tblPrEx>
        <w:tc>
          <w:tcPr>
            <w:tcW w:w="9016" w:type="dxa"/>
          </w:tcPr>
          <w:p w14:paraId="4CCF5657">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7485"/>
                  <wp:effectExtent l="0" t="0" r="0" b="5715"/>
                  <wp:docPr id="12599087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707B1DB">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(a) HORTON's model parameter, kh, Hurulu Wewa LB D3</w:t>
            </w:r>
          </w:p>
        </w:tc>
      </w:tr>
      <w:tr w14:paraId="40848271">
        <w:tblPrEx>
          <w:tblCellMar>
            <w:top w:w="0" w:type="dxa"/>
            <w:left w:w="108" w:type="dxa"/>
            <w:bottom w:w="0" w:type="dxa"/>
            <w:right w:w="108" w:type="dxa"/>
          </w:tblCellMar>
        </w:tblPrEx>
        <w:tc>
          <w:tcPr>
            <w:tcW w:w="9016" w:type="dxa"/>
            <w:shd w:val="clear" w:color="auto" w:fill="F1F1F1" w:themeFill="background1" w:themeFillShade="F2"/>
          </w:tcPr>
          <w:p w14:paraId="587CAD32">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7485"/>
                  <wp:effectExtent l="0" t="0" r="0" b="5715"/>
                  <wp:docPr id="9678997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E01A786">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(b) HORTON's model parameter, fo, Hurulu Wewa LB D3</w:t>
            </w:r>
          </w:p>
        </w:tc>
      </w:tr>
      <w:tr w14:paraId="7D82A4BE">
        <w:tblPrEx>
          <w:tblCellMar>
            <w:top w:w="0" w:type="dxa"/>
            <w:left w:w="108" w:type="dxa"/>
            <w:bottom w:w="0" w:type="dxa"/>
            <w:right w:w="108" w:type="dxa"/>
          </w:tblCellMar>
        </w:tblPrEx>
        <w:tc>
          <w:tcPr>
            <w:tcW w:w="9016" w:type="dxa"/>
          </w:tcPr>
          <w:p w14:paraId="0EF866B8">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3675"/>
                  <wp:effectExtent l="0" t="0" r="0" b="9525"/>
                  <wp:docPr id="5577054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9CBE0F9">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(c) HORTON's model parameter, fc, Hurulu Wewa LB D3</w:t>
            </w:r>
          </w:p>
        </w:tc>
      </w:tr>
      <w:tr w14:paraId="5EA6C688">
        <w:tc>
          <w:tcPr>
            <w:tcW w:w="9016" w:type="dxa"/>
            <w:shd w:val="clear" w:color="auto" w:fill="F1F1F1" w:themeFill="background1" w:themeFillShade="F2"/>
          </w:tcPr>
          <w:p w14:paraId="33AAE5FC">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7485"/>
                  <wp:effectExtent l="0" t="0" r="0" b="5715"/>
                  <wp:docPr id="187286135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B394205">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(d) PHILIP's model parameter, S, Hurulu Wewa LB D3</w:t>
            </w:r>
          </w:p>
        </w:tc>
      </w:tr>
      <w:tr w14:paraId="0236EB58">
        <w:tblPrEx>
          <w:tblCellMar>
            <w:top w:w="0" w:type="dxa"/>
            <w:left w:w="108" w:type="dxa"/>
            <w:bottom w:w="0" w:type="dxa"/>
            <w:right w:w="108" w:type="dxa"/>
          </w:tblCellMar>
        </w:tblPrEx>
        <w:tc>
          <w:tcPr>
            <w:tcW w:w="9016" w:type="dxa"/>
          </w:tcPr>
          <w:p w14:paraId="160BA926">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7485"/>
                  <wp:effectExtent l="0" t="0" r="0" b="5715"/>
                  <wp:docPr id="13356859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0C21F49">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(e) PHILIP's model parameter, K, Hurulu Wewa LB D3</w:t>
            </w:r>
          </w:p>
        </w:tc>
      </w:tr>
      <w:tr w14:paraId="5D2E3958">
        <w:tblPrEx>
          <w:tblCellMar>
            <w:top w:w="0" w:type="dxa"/>
            <w:left w:w="108" w:type="dxa"/>
            <w:bottom w:w="0" w:type="dxa"/>
            <w:right w:w="108" w:type="dxa"/>
          </w:tblCellMar>
        </w:tblPrEx>
        <w:tc>
          <w:tcPr>
            <w:tcW w:w="9016" w:type="dxa"/>
            <w:shd w:val="clear" w:color="auto" w:fill="F1F1F1" w:themeFill="background1" w:themeFillShade="F2"/>
          </w:tcPr>
          <w:p w14:paraId="30D8B97D">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5580"/>
                  <wp:effectExtent l="0" t="0" r="0" b="7620"/>
                  <wp:docPr id="102396633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AAF2BBF">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(f) KOSTIAKOV's model parameter, a, Hurulu Wewa LB D3</w:t>
            </w:r>
          </w:p>
        </w:tc>
      </w:tr>
      <w:tr w14:paraId="0C917E5C">
        <w:tblPrEx>
          <w:tblCellMar>
            <w:top w:w="0" w:type="dxa"/>
            <w:left w:w="108" w:type="dxa"/>
            <w:bottom w:w="0" w:type="dxa"/>
            <w:right w:w="108" w:type="dxa"/>
          </w:tblCellMar>
        </w:tblPrEx>
        <w:tc>
          <w:tcPr>
            <w:tcW w:w="9016" w:type="dxa"/>
          </w:tcPr>
          <w:p w14:paraId="064977FD">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18435"/>
                  <wp:effectExtent l="0" t="0" r="0" b="5715"/>
                  <wp:docPr id="165635150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1C13817">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(g) KOSTIAKOV's model parameter, b, Hurulu Wewa LB D3</w:t>
            </w:r>
          </w:p>
        </w:tc>
      </w:tr>
      <w:tr w14:paraId="08F84A2F">
        <w:tc>
          <w:tcPr>
            <w:tcW w:w="9016" w:type="dxa"/>
            <w:shd w:val="clear" w:color="auto" w:fill="F1F1F1" w:themeFill="background1" w:themeFillShade="F2"/>
          </w:tcPr>
          <w:p w14:paraId="74678A5E">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18435"/>
                  <wp:effectExtent l="0" t="0" r="0" b="5715"/>
                  <wp:docPr id="203239135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CCE7F59">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(h)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n, Hurulu Wewa LB D3</w:t>
            </w:r>
          </w:p>
        </w:tc>
      </w:tr>
      <w:tr w14:paraId="157FA321">
        <w:tblPrEx>
          <w:tblCellMar>
            <w:top w:w="0" w:type="dxa"/>
            <w:left w:w="108" w:type="dxa"/>
            <w:bottom w:w="0" w:type="dxa"/>
            <w:right w:w="108" w:type="dxa"/>
          </w:tblCellMar>
        </w:tblPrEx>
        <w:tc>
          <w:tcPr>
            <w:tcW w:w="9016" w:type="dxa"/>
          </w:tcPr>
          <w:p w14:paraId="44D5CCDB">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26055"/>
                  <wp:effectExtent l="0" t="0" r="0" b="17145"/>
                  <wp:docPr id="17386969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07B38A">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(i)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m, Hurulu Wewa LB D3</w:t>
            </w:r>
          </w:p>
        </w:tc>
      </w:tr>
      <w:tr w14:paraId="63C8D501">
        <w:tblPrEx>
          <w:tblCellMar>
            <w:top w:w="0" w:type="dxa"/>
            <w:left w:w="108" w:type="dxa"/>
            <w:bottom w:w="0" w:type="dxa"/>
            <w:right w:w="108" w:type="dxa"/>
          </w:tblCellMar>
        </w:tblPrEx>
        <w:tc>
          <w:tcPr>
            <w:tcW w:w="9016" w:type="dxa"/>
            <w:shd w:val="clear" w:color="auto" w:fill="F1F1F1" w:themeFill="background1" w:themeFillShade="F2"/>
          </w:tcPr>
          <w:p w14:paraId="57581F34">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3675"/>
                  <wp:effectExtent l="0" t="0" r="0" b="9525"/>
                  <wp:docPr id="7811991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C4DE7F7">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(j) Horton's model parameter, kh, Maduru Oya PDA</w:t>
            </w:r>
          </w:p>
        </w:tc>
      </w:tr>
      <w:tr w14:paraId="719D381C">
        <w:tblPrEx>
          <w:tblCellMar>
            <w:top w:w="0" w:type="dxa"/>
            <w:left w:w="108" w:type="dxa"/>
            <w:bottom w:w="0" w:type="dxa"/>
            <w:right w:w="108" w:type="dxa"/>
          </w:tblCellMar>
        </w:tblPrEx>
        <w:tc>
          <w:tcPr>
            <w:tcW w:w="9016" w:type="dxa"/>
          </w:tcPr>
          <w:p w14:paraId="46F118A6">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7485"/>
                  <wp:effectExtent l="0" t="0" r="0" b="5715"/>
                  <wp:docPr id="2856995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B247B5B">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(k) HORTON's model parameter, fo, Maduru Oya PDA</w:t>
            </w:r>
          </w:p>
        </w:tc>
      </w:tr>
      <w:tr w14:paraId="45438BCC">
        <w:tc>
          <w:tcPr>
            <w:tcW w:w="9016" w:type="dxa"/>
            <w:shd w:val="clear" w:color="auto" w:fill="F1F1F1" w:themeFill="background1" w:themeFillShade="F2"/>
          </w:tcPr>
          <w:p w14:paraId="29C5F9DE">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43200"/>
                  <wp:effectExtent l="0" t="0" r="0" b="0"/>
                  <wp:docPr id="17089375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919FE75">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(l) HORTON's model parameter, fc, Maduru Oya PDA</w:t>
            </w:r>
          </w:p>
        </w:tc>
      </w:tr>
      <w:tr w14:paraId="03F8E812">
        <w:tblPrEx>
          <w:tblCellMar>
            <w:top w:w="0" w:type="dxa"/>
            <w:left w:w="108" w:type="dxa"/>
            <w:bottom w:w="0" w:type="dxa"/>
            <w:right w:w="108" w:type="dxa"/>
          </w:tblCellMar>
        </w:tblPrEx>
        <w:tc>
          <w:tcPr>
            <w:tcW w:w="9016" w:type="dxa"/>
          </w:tcPr>
          <w:p w14:paraId="0D18F0ED">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29865"/>
                  <wp:effectExtent l="0" t="0" r="0" b="13335"/>
                  <wp:docPr id="1343766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E1919A0">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(m) PHILIP's model parameter, S, Maduru Oya PDA</w:t>
            </w:r>
          </w:p>
        </w:tc>
      </w:tr>
      <w:tr w14:paraId="500BFE11">
        <w:tblPrEx>
          <w:tblCellMar>
            <w:top w:w="0" w:type="dxa"/>
            <w:left w:w="108" w:type="dxa"/>
            <w:bottom w:w="0" w:type="dxa"/>
            <w:right w:w="108" w:type="dxa"/>
          </w:tblCellMar>
        </w:tblPrEx>
        <w:tc>
          <w:tcPr>
            <w:tcW w:w="9016" w:type="dxa"/>
            <w:shd w:val="clear" w:color="auto" w:fill="F1F1F1" w:themeFill="background1" w:themeFillShade="F2"/>
          </w:tcPr>
          <w:p w14:paraId="6541E7D3">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29865"/>
                  <wp:effectExtent l="0" t="0" r="0" b="13335"/>
                  <wp:docPr id="7573839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03DDB1F">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(n) PHILIP's model parameter, K, Maduru Oya PDA</w:t>
            </w:r>
          </w:p>
        </w:tc>
      </w:tr>
      <w:tr w14:paraId="6710C6CA">
        <w:tblPrEx>
          <w:tblCellMar>
            <w:top w:w="0" w:type="dxa"/>
            <w:left w:w="108" w:type="dxa"/>
            <w:bottom w:w="0" w:type="dxa"/>
            <w:right w:w="108" w:type="dxa"/>
          </w:tblCellMar>
        </w:tblPrEx>
        <w:tc>
          <w:tcPr>
            <w:tcW w:w="9016" w:type="dxa"/>
          </w:tcPr>
          <w:p w14:paraId="15F90398">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29865"/>
                  <wp:effectExtent l="0" t="0" r="0" b="13335"/>
                  <wp:docPr id="15131259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E3E4CAF">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(o) KOSTIAKOV's model parameter, a, Maduru Oya PDA</w:t>
            </w:r>
          </w:p>
        </w:tc>
      </w:tr>
      <w:tr w14:paraId="6231A1D3">
        <w:tc>
          <w:tcPr>
            <w:tcW w:w="9016" w:type="dxa"/>
            <w:shd w:val="clear" w:color="auto" w:fill="F1F1F1" w:themeFill="background1" w:themeFillShade="F2"/>
          </w:tcPr>
          <w:p w14:paraId="119337D0">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1770"/>
                  <wp:effectExtent l="0" t="0" r="0" b="11430"/>
                  <wp:docPr id="5356133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B5976DB">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(p) KOSTIAKOV's model parameter, b, Maduru Oya PDA</w:t>
            </w:r>
          </w:p>
        </w:tc>
      </w:tr>
      <w:tr w14:paraId="1D032696">
        <w:tblPrEx>
          <w:tblCellMar>
            <w:top w:w="0" w:type="dxa"/>
            <w:left w:w="108" w:type="dxa"/>
            <w:bottom w:w="0" w:type="dxa"/>
            <w:right w:w="108" w:type="dxa"/>
          </w:tblCellMar>
        </w:tblPrEx>
        <w:tc>
          <w:tcPr>
            <w:tcW w:w="9016" w:type="dxa"/>
          </w:tcPr>
          <w:p w14:paraId="00F372B3">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31770"/>
                  <wp:effectExtent l="0" t="0" r="0" b="11430"/>
                  <wp:docPr id="178681543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FF1742F">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(q)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n, Maduru Oya PDA</w:t>
            </w:r>
          </w:p>
        </w:tc>
      </w:tr>
      <w:tr w14:paraId="1F63B25C">
        <w:tblPrEx>
          <w:tblCellMar>
            <w:top w:w="0" w:type="dxa"/>
            <w:left w:w="108" w:type="dxa"/>
            <w:bottom w:w="0" w:type="dxa"/>
            <w:right w:w="108" w:type="dxa"/>
          </w:tblCellMar>
        </w:tblPrEx>
        <w:tc>
          <w:tcPr>
            <w:tcW w:w="9016" w:type="dxa"/>
            <w:shd w:val="clear" w:color="auto" w:fill="F1F1F1" w:themeFill="background1" w:themeFillShade="F2"/>
          </w:tcPr>
          <w:p w14:paraId="5D5E05AA">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0" distR="0">
                  <wp:extent cx="4572000" cy="2741295"/>
                  <wp:effectExtent l="0" t="0" r="0" b="1905"/>
                  <wp:docPr id="115331207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84FFB2D">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 xml:space="preserve">(r)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model parameter, m, Maduru Oya PDA</w:t>
            </w:r>
          </w:p>
        </w:tc>
      </w:tr>
    </w:tbl>
    <w:p w14:paraId="20D14A8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Fig. 5   Fitted infiltration model parameters for Hurulu Wewa LB D3, and Maduru Oya PDA</w:t>
      </w:r>
    </w:p>
    <w:p w14:paraId="7489345C">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 xml:space="preserve">图5 </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Hurulu-Wewa LB D3和Maduru-Oya PDA的拟合入渗模型参数</w:t>
      </w:r>
    </w:p>
    <w:p w14:paraId="3F36664C">
      <w:pPr>
        <w:spacing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To interpret these parameters physically, the PHILIP parameters were cross-tabulated against the field textural classes reported in Table 3 and against canal position (Table </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 xml:space="preserve">). Both sorptivity and hydraulic conductivity increased systematically as the coarse fraction of the profile increased. Textural classes containing an appreciable gravel or sand fraction (gravelly clay, sandy clay, clayey gravel, clayey sand and gravelly sand; </w:t>
      </w:r>
      <w:r>
        <w:rPr>
          <w:rFonts w:hint="default" w:ascii="Times New Roman" w:hAnsi="Times New Roman" w:cs="Times New Roman"/>
          <w:i/>
          <w:iCs/>
          <w:color w:val="auto"/>
          <w:sz w:val="21"/>
          <w:szCs w:val="21"/>
          <w:highlight w:val="none"/>
        </w:rPr>
        <w:t>n</w:t>
      </w:r>
      <w:r>
        <w:rPr>
          <w:rFonts w:hint="default" w:ascii="Times New Roman" w:hAnsi="Times New Roman" w:cs="Times New Roman"/>
          <w:color w:val="auto"/>
          <w:sz w:val="21"/>
          <w:szCs w:val="21"/>
          <w:highlight w:val="none"/>
        </w:rPr>
        <w:t xml:space="preserve"> = 22) gave a mean K of 0.223 ± 0.137 cm/h and a mean S of 0.458 ± 0.405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whereas the clay-dominated classes (</w:t>
      </w:r>
      <w:r>
        <w:rPr>
          <w:rFonts w:hint="default" w:ascii="Times New Roman" w:hAnsi="Times New Roman" w:cs="Times New Roman"/>
          <w:i/>
          <w:iCs/>
          <w:color w:val="auto"/>
          <w:sz w:val="21"/>
          <w:szCs w:val="21"/>
          <w:highlight w:val="none"/>
        </w:rPr>
        <w:t>n</w:t>
      </w:r>
      <w:r>
        <w:rPr>
          <w:rFonts w:hint="default" w:ascii="Times New Roman" w:hAnsi="Times New Roman" w:cs="Times New Roman"/>
          <w:color w:val="auto"/>
          <w:sz w:val="21"/>
          <w:szCs w:val="21"/>
          <w:highlight w:val="none"/>
        </w:rPr>
        <w:t xml:space="preserve"> = 39) gave 0.165 ± 0.153 cm/h and 0.326 ± 0.255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The highest class-mean values of both parameters occurred in the gravelly clay of Minipe D47 (</w:t>
      </w:r>
      <w:r>
        <w:rPr>
          <w:rFonts w:hint="default" w:ascii="Times New Roman" w:hAnsi="Times New Roman" w:cs="Times New Roman"/>
          <w:i/>
          <w:iCs/>
          <w:color w:val="auto"/>
          <w:sz w:val="21"/>
          <w:szCs w:val="21"/>
          <w:highlight w:val="none"/>
        </w:rPr>
        <w:t>S</w:t>
      </w:r>
      <w:r>
        <w:rPr>
          <w:rFonts w:hint="default" w:ascii="Times New Roman" w:hAnsi="Times New Roman" w:cs="Times New Roman"/>
          <w:color w:val="auto"/>
          <w:sz w:val="21"/>
          <w:szCs w:val="21"/>
          <w:highlight w:val="none"/>
        </w:rPr>
        <w:t xml:space="preserve"> = 0.660 cm/h</w:t>
      </w:r>
      <w:r>
        <w:rPr>
          <w:rFonts w:hint="default" w:ascii="Times New Roman" w:hAnsi="Times New Roman" w:cs="Times New Roman"/>
          <w:color w:val="auto"/>
          <w:sz w:val="21"/>
          <w:szCs w:val="21"/>
          <w:highlight w:val="none"/>
          <w:vertAlign w:val="superscript"/>
        </w:rPr>
        <w:t>0.5</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 xml:space="preserve">K </w:t>
      </w:r>
      <w:r>
        <w:rPr>
          <w:rFonts w:hint="default" w:ascii="Times New Roman" w:hAnsi="Times New Roman" w:cs="Times New Roman"/>
          <w:color w:val="auto"/>
          <w:sz w:val="21"/>
          <w:szCs w:val="21"/>
          <w:highlight w:val="none"/>
        </w:rPr>
        <w:t>= 0.242 cm/h), and the lowest conductivity in the high-clay profiles of Hurulu Wewa LB D3 (</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 xml:space="preserve"> = 0.136 cm/h). Across all 61 points, both parameters correlated significantly with the measured steady infiltration rate (</w:t>
      </w:r>
      <w:r>
        <w:rPr>
          <w:rFonts w:hint="default" w:ascii="Times New Roman" w:hAnsi="Times New Roman" w:cs="Times New Roman"/>
          <w:i/>
          <w:iCs/>
          <w:color w:val="auto"/>
          <w:sz w:val="21"/>
          <w:szCs w:val="21"/>
          <w:highlight w:val="none"/>
        </w:rPr>
        <w:t>S</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 xml:space="preserve">r </w:t>
      </w:r>
      <w:r>
        <w:rPr>
          <w:rFonts w:hint="default" w:ascii="Times New Roman" w:hAnsi="Times New Roman" w:cs="Times New Roman"/>
          <w:color w:val="auto"/>
          <w:sz w:val="21"/>
          <w:szCs w:val="21"/>
          <w:highlight w:val="none"/>
        </w:rPr>
        <w:t xml:space="preserve">= 0.51,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&lt; 0.001; </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rPr>
        <w:t xml:space="preserve"> = 0.43,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&lt; 0.001), which confirms that the fitted PHILIP parameters carry genuine textural information rather than being numerical artefacts of curve fitting. The contrast in K between the two textural groups was, however, only marginally significant (Mann-Whitney U,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 0.066), reflecting both the unbalanced group sizes and the limited resolution of field-based textural assessment, whereas the corresponding contrast in measured infiltration rate was highly significant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&lt; 0.001). The single anomaly in Table </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 xml:space="preserve"> is the clayey gravel class (</w:t>
      </w:r>
      <w:r>
        <w:rPr>
          <w:rFonts w:hint="default" w:ascii="Times New Roman" w:hAnsi="Times New Roman" w:cs="Times New Roman"/>
          <w:i/>
          <w:iCs/>
          <w:color w:val="auto"/>
          <w:sz w:val="21"/>
          <w:szCs w:val="21"/>
          <w:highlight w:val="none"/>
        </w:rPr>
        <w:t>n</w:t>
      </w:r>
      <w:r>
        <w:rPr>
          <w:rFonts w:hint="default" w:ascii="Times New Roman" w:hAnsi="Times New Roman" w:cs="Times New Roman"/>
          <w:color w:val="auto"/>
          <w:sz w:val="21"/>
          <w:szCs w:val="21"/>
          <w:highlight w:val="none"/>
        </w:rPr>
        <w:t xml:space="preserve"> = 4), which combines a high mean sorptivity with the lowest mean conductivity of any class; these four points comprise two at the head reach of Minipe D47 and two at the tail reach of Maduru Oya, where surface siltation appears to have created a thin, highly absorptive but poorly transmitting surface layer over a gravelly subsoil.</w:t>
      </w:r>
    </w:p>
    <w:p w14:paraId="3E6E872B">
      <w:pPr>
        <w:spacing w:after="0"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 xml:space="preserve">Table </w:t>
      </w:r>
      <w:r>
        <w:rPr>
          <w:rFonts w:hint="default" w:ascii="Times New Roman" w:hAnsi="Times New Roman" w:cs="Times New Roman"/>
          <w:color w:val="auto"/>
          <w:sz w:val="18"/>
          <w:szCs w:val="18"/>
          <w:highlight w:val="none"/>
          <w:lang w:val="en-US" w:eastAsia="zh-CN"/>
        </w:rPr>
        <w:t xml:space="preserve">4 </w:t>
      </w:r>
      <w:r>
        <w:rPr>
          <w:rFonts w:hint="default" w:ascii="Times New Roman" w:hAnsi="Times New Roman" w:cs="Times New Roman"/>
          <w:color w:val="auto"/>
          <w:sz w:val="18"/>
          <w:szCs w:val="18"/>
          <w:highlight w:val="none"/>
        </w:rPr>
        <w:t xml:space="preserve"> PHILIP model parameters (</w:t>
      </w:r>
      <w:r>
        <w:rPr>
          <w:rFonts w:hint="default" w:ascii="Times New Roman" w:hAnsi="Times New Roman" w:cs="Times New Roman"/>
          <w:i/>
          <w:iCs/>
          <w:color w:val="auto"/>
          <w:sz w:val="18"/>
          <w:szCs w:val="18"/>
          <w:highlight w:val="none"/>
        </w:rPr>
        <w:t>S</w:t>
      </w:r>
      <w:r>
        <w:rPr>
          <w:rFonts w:hint="default" w:ascii="Times New Roman" w:hAnsi="Times New Roman" w:cs="Times New Roman"/>
          <w:color w:val="auto"/>
          <w:sz w:val="18"/>
          <w:szCs w:val="18"/>
          <w:highlight w:val="none"/>
        </w:rPr>
        <w:t xml:space="preserve">, </w:t>
      </w:r>
      <w:r>
        <w:rPr>
          <w:rFonts w:hint="default" w:ascii="Times New Roman" w:hAnsi="Times New Roman" w:cs="Times New Roman"/>
          <w:i/>
          <w:iCs/>
          <w:color w:val="auto"/>
          <w:sz w:val="18"/>
          <w:szCs w:val="18"/>
          <w:highlight w:val="none"/>
        </w:rPr>
        <w:t>K</w:t>
      </w:r>
      <w:r>
        <w:rPr>
          <w:rFonts w:hint="default" w:ascii="Times New Roman" w:hAnsi="Times New Roman" w:cs="Times New Roman"/>
          <w:color w:val="auto"/>
          <w:sz w:val="18"/>
          <w:szCs w:val="18"/>
          <w:highlight w:val="none"/>
        </w:rPr>
        <w:t>) and measured infiltration rate grouped by field textural class, canal reach and irrigation scheme (</w:t>
      </w:r>
      <w:r>
        <w:rPr>
          <w:rFonts w:hint="default" w:ascii="Times New Roman" w:hAnsi="Times New Roman" w:cs="Times New Roman"/>
          <w:i/>
          <w:iCs/>
          <w:color w:val="auto"/>
          <w:sz w:val="18"/>
          <w:szCs w:val="18"/>
          <w:highlight w:val="none"/>
        </w:rPr>
        <w:t>n</w:t>
      </w:r>
      <w:r>
        <w:rPr>
          <w:rFonts w:hint="default" w:ascii="Times New Roman" w:hAnsi="Times New Roman" w:cs="Times New Roman"/>
          <w:color w:val="auto"/>
          <w:sz w:val="18"/>
          <w:szCs w:val="18"/>
          <w:highlight w:val="none"/>
        </w:rPr>
        <w:t xml:space="preserve"> = 61 farm-lot points)</w:t>
      </w:r>
    </w:p>
    <w:p w14:paraId="1ADA9257">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表</w:t>
      </w:r>
      <w:r>
        <w:rPr>
          <w:rFonts w:hint="default" w:ascii="Times New Roman" w:hAnsi="Times New Roman" w:eastAsia="宋体" w:cs="Times New Roman"/>
          <w:b/>
          <w:bCs/>
          <w:color w:val="auto"/>
          <w:sz w:val="18"/>
          <w:szCs w:val="18"/>
          <w:highlight w:val="none"/>
          <w:lang w:val="en-US" w:eastAsia="zh-CN"/>
        </w:rPr>
        <w:t xml:space="preserve">4  </w:t>
      </w:r>
      <w:r>
        <w:rPr>
          <w:rFonts w:hint="default" w:ascii="Times New Roman" w:hAnsi="Times New Roman" w:eastAsia="宋体" w:cs="Times New Roman"/>
          <w:b/>
          <w:bCs/>
          <w:color w:val="auto"/>
          <w:sz w:val="18"/>
          <w:szCs w:val="18"/>
          <w:highlight w:val="none"/>
        </w:rPr>
        <w:t>PHILIP模型参数（</w:t>
      </w:r>
      <w:r>
        <w:rPr>
          <w:rFonts w:hint="default" w:ascii="Times New Roman" w:hAnsi="Times New Roman" w:eastAsia="宋体" w:cs="Times New Roman"/>
          <w:b/>
          <w:bCs/>
          <w:i/>
          <w:iCs/>
          <w:color w:val="auto"/>
          <w:sz w:val="18"/>
          <w:szCs w:val="18"/>
          <w:highlight w:val="none"/>
        </w:rPr>
        <w:t>S</w:t>
      </w:r>
      <w:r>
        <w:rPr>
          <w:rFonts w:hint="default" w:ascii="Times New Roman" w:hAnsi="Times New Roman" w:eastAsia="宋体" w:cs="Times New Roman"/>
          <w:b/>
          <w:bCs/>
          <w:color w:val="auto"/>
          <w:sz w:val="18"/>
          <w:szCs w:val="18"/>
          <w:highlight w:val="none"/>
        </w:rPr>
        <w:t>，</w:t>
      </w:r>
      <w:r>
        <w:rPr>
          <w:rFonts w:hint="default" w:ascii="Times New Roman" w:hAnsi="Times New Roman" w:eastAsia="宋体" w:cs="Times New Roman"/>
          <w:b/>
          <w:bCs/>
          <w:i/>
          <w:iCs/>
          <w:color w:val="auto"/>
          <w:sz w:val="18"/>
          <w:szCs w:val="18"/>
          <w:highlight w:val="none"/>
        </w:rPr>
        <w:t>K</w:t>
      </w:r>
      <w:r>
        <w:rPr>
          <w:rFonts w:hint="default" w:ascii="Times New Roman" w:hAnsi="Times New Roman" w:eastAsia="宋体" w:cs="Times New Roman"/>
          <w:b/>
          <w:bCs/>
          <w:color w:val="auto"/>
          <w:sz w:val="18"/>
          <w:szCs w:val="18"/>
          <w:highlight w:val="none"/>
        </w:rPr>
        <w:t>）和按田间质地等级、渠道河段和灌溉方案分组的实测入渗率（</w:t>
      </w:r>
      <w:r>
        <w:rPr>
          <w:rFonts w:hint="default" w:ascii="Times New Roman" w:hAnsi="Times New Roman" w:eastAsia="宋体" w:cs="Times New Roman"/>
          <w:b/>
          <w:bCs/>
          <w:i/>
          <w:iCs/>
          <w:color w:val="auto"/>
          <w:sz w:val="18"/>
          <w:szCs w:val="18"/>
          <w:highlight w:val="none"/>
        </w:rPr>
        <w:t>n</w:t>
      </w:r>
      <w:r>
        <w:rPr>
          <w:rFonts w:hint="default" w:ascii="Times New Roman" w:hAnsi="Times New Roman" w:eastAsia="宋体" w:cs="Times New Roman"/>
          <w:b/>
          <w:bCs/>
          <w:color w:val="auto"/>
          <w:sz w:val="18"/>
          <w:szCs w:val="18"/>
          <w:highlight w:val="none"/>
        </w:rPr>
        <w:t>=61个农场地块点）</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9"/>
        <w:gridCol w:w="1289"/>
        <w:gridCol w:w="1289"/>
        <w:gridCol w:w="1289"/>
        <w:gridCol w:w="1289"/>
        <w:gridCol w:w="1289"/>
        <w:gridCol w:w="1289"/>
      </w:tblGrid>
      <w:tr w14:paraId="1491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tcPr>
          <w:p w14:paraId="31445C75">
            <w:pPr>
              <w:rPr>
                <w:rFonts w:hint="default" w:ascii="Times New Roman" w:hAnsi="Times New Roman" w:cs="Times New Roman"/>
                <w:color w:val="auto"/>
                <w:sz w:val="15"/>
                <w:szCs w:val="15"/>
                <w:highlight w:val="none"/>
              </w:rPr>
            </w:pPr>
            <w:r>
              <w:rPr>
                <w:rFonts w:hint="default" w:ascii="Times New Roman" w:hAnsi="Times New Roman" w:cs="Times New Roman"/>
                <w:b/>
                <w:color w:val="auto"/>
                <w:sz w:val="15"/>
                <w:szCs w:val="15"/>
                <w:highlight w:val="none"/>
              </w:rPr>
              <w:t>Grouping</w:t>
            </w:r>
          </w:p>
        </w:tc>
        <w:tc>
          <w:tcPr>
            <w:tcW w:w="1289" w:type="dxa"/>
          </w:tcPr>
          <w:p w14:paraId="269BB432">
            <w:pPr>
              <w:rPr>
                <w:rFonts w:hint="default" w:ascii="Times New Roman" w:hAnsi="Times New Roman" w:cs="Times New Roman"/>
                <w:color w:val="auto"/>
                <w:sz w:val="15"/>
                <w:szCs w:val="15"/>
                <w:highlight w:val="none"/>
              </w:rPr>
            </w:pPr>
            <w:r>
              <w:rPr>
                <w:rFonts w:hint="default" w:ascii="Times New Roman" w:hAnsi="Times New Roman" w:cs="Times New Roman"/>
                <w:b/>
                <w:color w:val="auto"/>
                <w:sz w:val="15"/>
                <w:szCs w:val="15"/>
                <w:highlight w:val="none"/>
              </w:rPr>
              <w:t>Class</w:t>
            </w:r>
          </w:p>
        </w:tc>
        <w:tc>
          <w:tcPr>
            <w:tcW w:w="1289" w:type="dxa"/>
          </w:tcPr>
          <w:p w14:paraId="3E5CA4C7">
            <w:pPr>
              <w:rPr>
                <w:rFonts w:hint="default" w:ascii="Times New Roman" w:hAnsi="Times New Roman" w:cs="Times New Roman"/>
                <w:color w:val="auto"/>
                <w:sz w:val="15"/>
                <w:szCs w:val="15"/>
                <w:highlight w:val="none"/>
              </w:rPr>
            </w:pPr>
            <w:r>
              <w:rPr>
                <w:rFonts w:hint="default" w:ascii="Times New Roman" w:hAnsi="Times New Roman" w:cs="Times New Roman"/>
                <w:b/>
                <w:i/>
                <w:iCs/>
                <w:color w:val="auto"/>
                <w:sz w:val="15"/>
                <w:szCs w:val="15"/>
                <w:highlight w:val="none"/>
              </w:rPr>
              <w:t>n</w:t>
            </w:r>
          </w:p>
        </w:tc>
        <w:tc>
          <w:tcPr>
            <w:tcW w:w="1289" w:type="dxa"/>
          </w:tcPr>
          <w:p w14:paraId="032A2C21">
            <w:pPr>
              <w:rPr>
                <w:rFonts w:hint="default" w:ascii="Times New Roman" w:hAnsi="Times New Roman" w:cs="Times New Roman"/>
                <w:color w:val="auto"/>
                <w:sz w:val="15"/>
                <w:szCs w:val="15"/>
                <w:highlight w:val="none"/>
              </w:rPr>
            </w:pPr>
            <w:r>
              <w:rPr>
                <w:rFonts w:hint="default" w:ascii="Times New Roman" w:hAnsi="Times New Roman" w:cs="Times New Roman"/>
                <w:b/>
                <w:i/>
                <w:iCs/>
                <w:color w:val="auto"/>
                <w:sz w:val="15"/>
                <w:szCs w:val="15"/>
                <w:highlight w:val="none"/>
              </w:rPr>
              <w:t>S</w:t>
            </w:r>
            <w:r>
              <w:rPr>
                <w:rFonts w:hint="default" w:ascii="Times New Roman" w:hAnsi="Times New Roman" w:cs="Times New Roman"/>
                <w:b/>
                <w:color w:val="auto"/>
                <w:sz w:val="15"/>
                <w:szCs w:val="15"/>
                <w:highlight w:val="none"/>
              </w:rPr>
              <w:t xml:space="preserve"> /cm·h</w:t>
            </w:r>
            <w:r>
              <w:rPr>
                <w:rFonts w:hint="default" w:ascii="Times New Roman" w:hAnsi="Times New Roman" w:cs="Times New Roman"/>
                <w:b/>
                <w:color w:val="auto"/>
                <w:sz w:val="15"/>
                <w:szCs w:val="15"/>
                <w:highlight w:val="none"/>
                <w:vertAlign w:val="superscript"/>
              </w:rPr>
              <w:t>-0.5</w:t>
            </w:r>
          </w:p>
        </w:tc>
        <w:tc>
          <w:tcPr>
            <w:tcW w:w="1289" w:type="dxa"/>
          </w:tcPr>
          <w:p w14:paraId="03EBAC8F">
            <w:pPr>
              <w:rPr>
                <w:rFonts w:hint="default" w:ascii="Times New Roman" w:hAnsi="Times New Roman" w:cs="Times New Roman"/>
                <w:color w:val="auto"/>
                <w:sz w:val="15"/>
                <w:szCs w:val="15"/>
                <w:highlight w:val="none"/>
              </w:rPr>
            </w:pPr>
            <w:r>
              <w:rPr>
                <w:rFonts w:hint="default" w:ascii="Times New Roman" w:hAnsi="Times New Roman" w:cs="Times New Roman"/>
                <w:b/>
                <w:i/>
                <w:iCs/>
                <w:color w:val="auto"/>
                <w:sz w:val="15"/>
                <w:szCs w:val="15"/>
                <w:highlight w:val="none"/>
              </w:rPr>
              <w:t>K</w:t>
            </w:r>
            <w:r>
              <w:rPr>
                <w:rFonts w:hint="default" w:ascii="Times New Roman" w:hAnsi="Times New Roman" w:cs="Times New Roman"/>
                <w:b/>
                <w:color w:val="auto"/>
                <w:sz w:val="15"/>
                <w:szCs w:val="15"/>
                <w:highlight w:val="none"/>
              </w:rPr>
              <w:t xml:space="preserve"> /cm·h</w:t>
            </w:r>
            <w:r>
              <w:rPr>
                <w:rFonts w:hint="default" w:ascii="Times New Roman" w:hAnsi="Times New Roman" w:cs="Times New Roman"/>
                <w:b/>
                <w:color w:val="auto"/>
                <w:sz w:val="15"/>
                <w:szCs w:val="15"/>
                <w:highlight w:val="none"/>
                <w:vertAlign w:val="superscript"/>
              </w:rPr>
              <w:t>-1</w:t>
            </w:r>
          </w:p>
        </w:tc>
        <w:tc>
          <w:tcPr>
            <w:tcW w:w="1289" w:type="dxa"/>
          </w:tcPr>
          <w:p w14:paraId="034790C5">
            <w:pPr>
              <w:rPr>
                <w:rFonts w:hint="default" w:ascii="Times New Roman" w:hAnsi="Times New Roman" w:cs="Times New Roman"/>
                <w:color w:val="auto"/>
                <w:sz w:val="15"/>
                <w:szCs w:val="15"/>
                <w:highlight w:val="none"/>
              </w:rPr>
            </w:pPr>
            <w:r>
              <w:rPr>
                <w:rFonts w:hint="default" w:ascii="Times New Roman" w:hAnsi="Times New Roman" w:cs="Times New Roman"/>
                <w:b/>
                <w:color w:val="auto"/>
                <w:sz w:val="15"/>
                <w:szCs w:val="15"/>
                <w:highlight w:val="none"/>
              </w:rPr>
              <w:t xml:space="preserve">Measured </w:t>
            </w:r>
            <w:r>
              <w:rPr>
                <w:rFonts w:hint="default" w:ascii="Times New Roman" w:hAnsi="Times New Roman" w:cs="Times New Roman"/>
                <w:b/>
                <w:i/>
                <w:iCs/>
                <w:color w:val="auto"/>
                <w:sz w:val="15"/>
                <w:szCs w:val="15"/>
                <w:highlight w:val="none"/>
              </w:rPr>
              <w:t xml:space="preserve">f </w:t>
            </w:r>
            <w:r>
              <w:rPr>
                <w:rFonts w:hint="default" w:ascii="Times New Roman" w:hAnsi="Times New Roman" w:cs="Times New Roman"/>
                <w:b/>
                <w:color w:val="auto"/>
                <w:sz w:val="15"/>
                <w:szCs w:val="15"/>
                <w:highlight w:val="none"/>
              </w:rPr>
              <w:t>/cm·h</w:t>
            </w:r>
            <w:r>
              <w:rPr>
                <w:rFonts w:hint="default" w:ascii="Times New Roman" w:hAnsi="Times New Roman" w:cs="Times New Roman"/>
                <w:b/>
                <w:color w:val="auto"/>
                <w:sz w:val="15"/>
                <w:szCs w:val="15"/>
                <w:highlight w:val="none"/>
                <w:vertAlign w:val="superscript"/>
              </w:rPr>
              <w:t>-1</w:t>
            </w:r>
          </w:p>
        </w:tc>
        <w:tc>
          <w:tcPr>
            <w:tcW w:w="1289" w:type="dxa"/>
          </w:tcPr>
          <w:p w14:paraId="6B897D1E">
            <w:pPr>
              <w:rPr>
                <w:rFonts w:hint="default" w:ascii="Times New Roman" w:hAnsi="Times New Roman" w:cs="Times New Roman"/>
                <w:color w:val="auto"/>
                <w:sz w:val="15"/>
                <w:szCs w:val="15"/>
                <w:highlight w:val="none"/>
              </w:rPr>
            </w:pPr>
            <w:r>
              <w:rPr>
                <w:rFonts w:hint="default" w:ascii="Times New Roman" w:hAnsi="Times New Roman" w:cs="Times New Roman"/>
                <w:b/>
                <w:color w:val="auto"/>
                <w:sz w:val="15"/>
                <w:szCs w:val="15"/>
                <w:highlight w:val="none"/>
              </w:rPr>
              <w:t xml:space="preserve">Median </w:t>
            </w:r>
            <w:r>
              <w:rPr>
                <w:rFonts w:hint="default" w:ascii="Times New Roman" w:hAnsi="Times New Roman" w:cs="Times New Roman"/>
                <w:b/>
                <w:i/>
                <w:iCs/>
                <w:color w:val="auto"/>
                <w:sz w:val="15"/>
                <w:szCs w:val="15"/>
                <w:highlight w:val="none"/>
              </w:rPr>
              <w:t>t</w:t>
            </w:r>
            <w:r>
              <w:rPr>
                <w:rFonts w:hint="default" w:ascii="Times New Roman" w:hAnsi="Times New Roman" w:cs="Times New Roman"/>
                <w:b/>
                <w:color w:val="auto"/>
                <w:sz w:val="15"/>
                <w:szCs w:val="15"/>
                <w:highlight w:val="none"/>
                <w:vertAlign w:val="subscript"/>
              </w:rPr>
              <w:t>grav</w:t>
            </w:r>
            <w:r>
              <w:rPr>
                <w:rFonts w:hint="default" w:ascii="Times New Roman" w:hAnsi="Times New Roman" w:cs="Times New Roman"/>
                <w:b/>
                <w:color w:val="auto"/>
                <w:sz w:val="15"/>
                <w:szCs w:val="15"/>
                <w:highlight w:val="none"/>
              </w:rPr>
              <w:t xml:space="preserve"> /h</w:t>
            </w:r>
          </w:p>
        </w:tc>
      </w:tr>
      <w:tr w14:paraId="40DF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restart"/>
          </w:tcPr>
          <w:p w14:paraId="39AECAB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Textural class</w:t>
            </w:r>
          </w:p>
        </w:tc>
        <w:tc>
          <w:tcPr>
            <w:tcW w:w="1289" w:type="dxa"/>
          </w:tcPr>
          <w:p w14:paraId="01A4DAB5">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Gravelly sand</w:t>
            </w:r>
          </w:p>
        </w:tc>
        <w:tc>
          <w:tcPr>
            <w:tcW w:w="1289" w:type="dxa"/>
          </w:tcPr>
          <w:p w14:paraId="2C66F2A6">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w:t>
            </w:r>
          </w:p>
        </w:tc>
        <w:tc>
          <w:tcPr>
            <w:tcW w:w="1289" w:type="dxa"/>
          </w:tcPr>
          <w:p w14:paraId="04779A2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0.042 ± 0.027</w:t>
            </w:r>
          </w:p>
        </w:tc>
        <w:tc>
          <w:tcPr>
            <w:tcW w:w="1289" w:type="dxa"/>
          </w:tcPr>
          <w:p w14:paraId="7B62ADD0">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0.298 ± 0.075</w:t>
            </w:r>
          </w:p>
        </w:tc>
        <w:tc>
          <w:tcPr>
            <w:tcW w:w="1289" w:type="dxa"/>
          </w:tcPr>
          <w:p w14:paraId="13B2F79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0.375 ± 0.035</w:t>
            </w:r>
          </w:p>
        </w:tc>
        <w:tc>
          <w:tcPr>
            <w:tcW w:w="1289" w:type="dxa"/>
          </w:tcPr>
          <w:p w14:paraId="53D22B9C">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0.03</w:t>
            </w:r>
          </w:p>
        </w:tc>
      </w:tr>
      <w:tr w14:paraId="2F77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6643ACC9">
            <w:pPr>
              <w:rPr>
                <w:rFonts w:hint="default" w:ascii="Times New Roman" w:hAnsi="Times New Roman" w:cs="Times New Roman"/>
                <w:color w:val="auto"/>
                <w:sz w:val="15"/>
                <w:szCs w:val="15"/>
                <w:highlight w:val="none"/>
              </w:rPr>
            </w:pPr>
          </w:p>
        </w:tc>
        <w:tc>
          <w:tcPr>
            <w:tcW w:w="1289" w:type="dxa"/>
          </w:tcPr>
          <w:p w14:paraId="4D48918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Clayey sand</w:t>
            </w:r>
          </w:p>
        </w:tc>
        <w:tc>
          <w:tcPr>
            <w:tcW w:w="1289" w:type="dxa"/>
          </w:tcPr>
          <w:p w14:paraId="7404DC0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w:t>
            </w:r>
          </w:p>
        </w:tc>
        <w:tc>
          <w:tcPr>
            <w:tcW w:w="1289" w:type="dxa"/>
          </w:tcPr>
          <w:p w14:paraId="797B25BB">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0.199</w:t>
            </w:r>
          </w:p>
        </w:tc>
        <w:tc>
          <w:tcPr>
            <w:tcW w:w="1289" w:type="dxa"/>
          </w:tcPr>
          <w:p w14:paraId="0463618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0.279</w:t>
            </w:r>
          </w:p>
        </w:tc>
        <w:tc>
          <w:tcPr>
            <w:tcW w:w="1289" w:type="dxa"/>
          </w:tcPr>
          <w:p w14:paraId="73A270B4">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0.400</w:t>
            </w:r>
          </w:p>
        </w:tc>
        <w:tc>
          <w:tcPr>
            <w:tcW w:w="1289" w:type="dxa"/>
          </w:tcPr>
          <w:p w14:paraId="39CAADB7">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0.51</w:t>
            </w:r>
          </w:p>
        </w:tc>
      </w:tr>
      <w:tr w14:paraId="7340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9" w:type="dxa"/>
            <w:vMerge w:val="continue"/>
            <w:tcBorders/>
          </w:tcPr>
          <w:p w14:paraId="06B76CF3">
            <w:pPr>
              <w:rPr>
                <w:rFonts w:hint="default" w:ascii="Times New Roman" w:hAnsi="Times New Roman" w:cs="Times New Roman"/>
                <w:color w:val="auto"/>
                <w:sz w:val="15"/>
                <w:szCs w:val="15"/>
                <w:highlight w:val="none"/>
              </w:rPr>
            </w:pPr>
          </w:p>
        </w:tc>
        <w:tc>
          <w:tcPr>
            <w:tcW w:w="1289" w:type="dxa"/>
          </w:tcPr>
          <w:p w14:paraId="45DB5A8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Sandy clay</w:t>
            </w:r>
          </w:p>
        </w:tc>
        <w:tc>
          <w:tcPr>
            <w:tcW w:w="1289" w:type="dxa"/>
          </w:tcPr>
          <w:p w14:paraId="0B2BD17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10</w:t>
            </w:r>
          </w:p>
        </w:tc>
        <w:tc>
          <w:tcPr>
            <w:tcW w:w="1289" w:type="dxa"/>
          </w:tcPr>
          <w:p w14:paraId="2B10A55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0.452 ± 0.145</w:t>
            </w:r>
          </w:p>
        </w:tc>
        <w:tc>
          <w:tcPr>
            <w:tcW w:w="1289" w:type="dxa"/>
          </w:tcPr>
          <w:p w14:paraId="38A2E666">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0.243 ± 0.122</w:t>
            </w:r>
          </w:p>
        </w:tc>
        <w:tc>
          <w:tcPr>
            <w:tcW w:w="1289" w:type="dxa"/>
          </w:tcPr>
          <w:p w14:paraId="5C6DA5F4">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0.473 ± 0.094</w:t>
            </w:r>
          </w:p>
        </w:tc>
        <w:tc>
          <w:tcPr>
            <w:tcW w:w="1289" w:type="dxa"/>
          </w:tcPr>
          <w:p w14:paraId="758465B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3.06</w:t>
            </w:r>
          </w:p>
        </w:tc>
      </w:tr>
      <w:tr w14:paraId="2FC0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7DBDDA8A">
            <w:pPr>
              <w:rPr>
                <w:rFonts w:hint="default" w:ascii="Times New Roman" w:hAnsi="Times New Roman" w:cs="Times New Roman"/>
                <w:color w:val="auto"/>
                <w:sz w:val="15"/>
                <w:szCs w:val="15"/>
                <w:highlight w:val="none"/>
              </w:rPr>
            </w:pPr>
          </w:p>
        </w:tc>
        <w:tc>
          <w:tcPr>
            <w:tcW w:w="1289" w:type="dxa"/>
          </w:tcPr>
          <w:p w14:paraId="7775E8B9">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Gravelly clay</w:t>
            </w:r>
          </w:p>
        </w:tc>
        <w:tc>
          <w:tcPr>
            <w:tcW w:w="1289" w:type="dxa"/>
          </w:tcPr>
          <w:p w14:paraId="016E0682">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5</w:t>
            </w:r>
          </w:p>
        </w:tc>
        <w:tc>
          <w:tcPr>
            <w:tcW w:w="1289" w:type="dxa"/>
          </w:tcPr>
          <w:p w14:paraId="74FC6218">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0.660 ± 0.730</w:t>
            </w:r>
          </w:p>
        </w:tc>
        <w:tc>
          <w:tcPr>
            <w:tcW w:w="1289" w:type="dxa"/>
          </w:tcPr>
          <w:p w14:paraId="114C2DC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0.242 ± 0.186</w:t>
            </w:r>
          </w:p>
        </w:tc>
        <w:tc>
          <w:tcPr>
            <w:tcW w:w="1289" w:type="dxa"/>
          </w:tcPr>
          <w:p w14:paraId="32840DD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0.584 ± 0.299</w:t>
            </w:r>
          </w:p>
        </w:tc>
        <w:tc>
          <w:tcPr>
            <w:tcW w:w="1289" w:type="dxa"/>
          </w:tcPr>
          <w:p w14:paraId="0F14E5CD">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2.12</w:t>
            </w:r>
          </w:p>
        </w:tc>
      </w:tr>
      <w:tr w14:paraId="615D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0E150823">
            <w:pPr>
              <w:rPr>
                <w:rFonts w:hint="default" w:ascii="Times New Roman" w:hAnsi="Times New Roman" w:cs="Times New Roman"/>
                <w:color w:val="auto"/>
                <w:sz w:val="15"/>
                <w:szCs w:val="15"/>
                <w:highlight w:val="none"/>
              </w:rPr>
            </w:pPr>
          </w:p>
        </w:tc>
        <w:tc>
          <w:tcPr>
            <w:tcW w:w="1289" w:type="dxa"/>
          </w:tcPr>
          <w:p w14:paraId="57E5EFC5">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Clay</w:t>
            </w:r>
          </w:p>
        </w:tc>
        <w:tc>
          <w:tcPr>
            <w:tcW w:w="1289" w:type="dxa"/>
          </w:tcPr>
          <w:p w14:paraId="2B2C363A">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22</w:t>
            </w:r>
          </w:p>
        </w:tc>
        <w:tc>
          <w:tcPr>
            <w:tcW w:w="1289" w:type="dxa"/>
          </w:tcPr>
          <w:p w14:paraId="5A292ADB">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0.327 ± 0.291</w:t>
            </w:r>
          </w:p>
        </w:tc>
        <w:tc>
          <w:tcPr>
            <w:tcW w:w="1289" w:type="dxa"/>
          </w:tcPr>
          <w:p w14:paraId="785E00F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0.187 ± 0.174</w:t>
            </w:r>
          </w:p>
        </w:tc>
        <w:tc>
          <w:tcPr>
            <w:tcW w:w="1289" w:type="dxa"/>
          </w:tcPr>
          <w:p w14:paraId="495771F9">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0.308 ± 0.116</w:t>
            </w:r>
          </w:p>
        </w:tc>
        <w:tc>
          <w:tcPr>
            <w:tcW w:w="1289" w:type="dxa"/>
          </w:tcPr>
          <w:p w14:paraId="3ABC3580">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4.80</w:t>
            </w:r>
          </w:p>
        </w:tc>
      </w:tr>
      <w:tr w14:paraId="0583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4F89262B">
            <w:pPr>
              <w:rPr>
                <w:rFonts w:hint="default" w:ascii="Times New Roman" w:hAnsi="Times New Roman" w:cs="Times New Roman"/>
                <w:color w:val="auto"/>
                <w:sz w:val="15"/>
                <w:szCs w:val="15"/>
                <w:highlight w:val="none"/>
              </w:rPr>
            </w:pPr>
          </w:p>
        </w:tc>
        <w:tc>
          <w:tcPr>
            <w:tcW w:w="1289" w:type="dxa"/>
          </w:tcPr>
          <w:p w14:paraId="5B8A2B37">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Clay (high clay content)</w:t>
            </w:r>
          </w:p>
        </w:tc>
        <w:tc>
          <w:tcPr>
            <w:tcW w:w="1289" w:type="dxa"/>
          </w:tcPr>
          <w:p w14:paraId="5EA8D6E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17</w:t>
            </w:r>
          </w:p>
        </w:tc>
        <w:tc>
          <w:tcPr>
            <w:tcW w:w="1289" w:type="dxa"/>
          </w:tcPr>
          <w:p w14:paraId="0E48B09D">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0.325 ± 0.206</w:t>
            </w:r>
          </w:p>
        </w:tc>
        <w:tc>
          <w:tcPr>
            <w:tcW w:w="1289" w:type="dxa"/>
          </w:tcPr>
          <w:p w14:paraId="15AC2AF7">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0.136 ± 0.120</w:t>
            </w:r>
          </w:p>
        </w:tc>
        <w:tc>
          <w:tcPr>
            <w:tcW w:w="1289" w:type="dxa"/>
          </w:tcPr>
          <w:p w14:paraId="08F8F47D">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0.283 ± 0.126</w:t>
            </w:r>
          </w:p>
        </w:tc>
        <w:tc>
          <w:tcPr>
            <w:tcW w:w="1289" w:type="dxa"/>
          </w:tcPr>
          <w:p w14:paraId="51C8201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8.76</w:t>
            </w:r>
          </w:p>
        </w:tc>
      </w:tr>
      <w:tr w14:paraId="1423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9" w:type="dxa"/>
            <w:vMerge w:val="continue"/>
            <w:tcBorders/>
          </w:tcPr>
          <w:p w14:paraId="18A2C4DD">
            <w:pPr>
              <w:rPr>
                <w:rFonts w:hint="default" w:ascii="Times New Roman" w:hAnsi="Times New Roman" w:cs="Times New Roman"/>
                <w:color w:val="auto"/>
                <w:sz w:val="15"/>
                <w:szCs w:val="15"/>
                <w:highlight w:val="none"/>
              </w:rPr>
            </w:pPr>
          </w:p>
        </w:tc>
        <w:tc>
          <w:tcPr>
            <w:tcW w:w="1289" w:type="dxa"/>
          </w:tcPr>
          <w:p w14:paraId="376715B9">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Clayey gravel</w:t>
            </w:r>
          </w:p>
        </w:tc>
        <w:tc>
          <w:tcPr>
            <w:tcW w:w="1289" w:type="dxa"/>
          </w:tcPr>
          <w:p w14:paraId="08B91FF8">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4</w:t>
            </w:r>
          </w:p>
        </w:tc>
        <w:tc>
          <w:tcPr>
            <w:tcW w:w="1289" w:type="dxa"/>
          </w:tcPr>
          <w:p w14:paraId="410C24B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0.493 ± 0.405</w:t>
            </w:r>
          </w:p>
        </w:tc>
        <w:tc>
          <w:tcPr>
            <w:tcW w:w="1289" w:type="dxa"/>
          </w:tcPr>
          <w:p w14:paraId="09E86B9A">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0.099 ± 0.107</w:t>
            </w:r>
          </w:p>
        </w:tc>
        <w:tc>
          <w:tcPr>
            <w:tcW w:w="1289" w:type="dxa"/>
          </w:tcPr>
          <w:p w14:paraId="3474A97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0.352 ± 0.064</w:t>
            </w:r>
          </w:p>
        </w:tc>
        <w:tc>
          <w:tcPr>
            <w:tcW w:w="1289" w:type="dxa"/>
          </w:tcPr>
          <w:p w14:paraId="7A97299A">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316.07</w:t>
            </w:r>
          </w:p>
        </w:tc>
      </w:tr>
      <w:tr w14:paraId="7BE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restart"/>
          </w:tcPr>
          <w:p w14:paraId="40B5B42C">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Canal reach</w:t>
            </w:r>
          </w:p>
        </w:tc>
        <w:tc>
          <w:tcPr>
            <w:tcW w:w="1289" w:type="dxa"/>
          </w:tcPr>
          <w:p w14:paraId="15CDDEB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Head end</w:t>
            </w:r>
          </w:p>
        </w:tc>
        <w:tc>
          <w:tcPr>
            <w:tcW w:w="1289" w:type="dxa"/>
          </w:tcPr>
          <w:p w14:paraId="15E6E1F0">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18</w:t>
            </w:r>
          </w:p>
        </w:tc>
        <w:tc>
          <w:tcPr>
            <w:tcW w:w="1289" w:type="dxa"/>
          </w:tcPr>
          <w:p w14:paraId="55766F88">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0.277 ± 0.166</w:t>
            </w:r>
          </w:p>
        </w:tc>
        <w:tc>
          <w:tcPr>
            <w:tcW w:w="1289" w:type="dxa"/>
          </w:tcPr>
          <w:p w14:paraId="3BA188DA">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0.138 ± 0.076</w:t>
            </w:r>
          </w:p>
        </w:tc>
        <w:tc>
          <w:tcPr>
            <w:tcW w:w="1289" w:type="dxa"/>
          </w:tcPr>
          <w:p w14:paraId="3F0BE1D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0.287 ± 0.107</w:t>
            </w:r>
          </w:p>
        </w:tc>
        <w:tc>
          <w:tcPr>
            <w:tcW w:w="1289" w:type="dxa"/>
          </w:tcPr>
          <w:p w14:paraId="45E4F736">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r w14:paraId="6113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41983690">
            <w:pPr>
              <w:rPr>
                <w:rFonts w:hint="default" w:ascii="Times New Roman" w:hAnsi="Times New Roman" w:cs="Times New Roman"/>
                <w:color w:val="auto"/>
                <w:sz w:val="15"/>
                <w:szCs w:val="15"/>
                <w:highlight w:val="none"/>
              </w:rPr>
            </w:pPr>
          </w:p>
        </w:tc>
        <w:tc>
          <w:tcPr>
            <w:tcW w:w="1289" w:type="dxa"/>
          </w:tcPr>
          <w:p w14:paraId="07721825">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Middle</w:t>
            </w:r>
          </w:p>
        </w:tc>
        <w:tc>
          <w:tcPr>
            <w:tcW w:w="1289" w:type="dxa"/>
          </w:tcPr>
          <w:p w14:paraId="3F14F126">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22</w:t>
            </w:r>
          </w:p>
        </w:tc>
        <w:tc>
          <w:tcPr>
            <w:tcW w:w="1289" w:type="dxa"/>
          </w:tcPr>
          <w:p w14:paraId="2174110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0.420 ± 0.446</w:t>
            </w:r>
          </w:p>
        </w:tc>
        <w:tc>
          <w:tcPr>
            <w:tcW w:w="1289" w:type="dxa"/>
          </w:tcPr>
          <w:p w14:paraId="7CBD10CD">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0.222 ± 0.187</w:t>
            </w:r>
          </w:p>
        </w:tc>
        <w:tc>
          <w:tcPr>
            <w:tcW w:w="1289" w:type="dxa"/>
          </w:tcPr>
          <w:p w14:paraId="7C3A869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0.368 ± 0.160</w:t>
            </w:r>
          </w:p>
        </w:tc>
        <w:tc>
          <w:tcPr>
            <w:tcW w:w="1289" w:type="dxa"/>
          </w:tcPr>
          <w:p w14:paraId="6C49AA37">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r w14:paraId="7665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52A09323">
            <w:pPr>
              <w:rPr>
                <w:rFonts w:hint="default" w:ascii="Times New Roman" w:hAnsi="Times New Roman" w:cs="Times New Roman"/>
                <w:color w:val="auto"/>
                <w:sz w:val="15"/>
                <w:szCs w:val="15"/>
                <w:highlight w:val="none"/>
              </w:rPr>
            </w:pPr>
          </w:p>
        </w:tc>
        <w:tc>
          <w:tcPr>
            <w:tcW w:w="1289" w:type="dxa"/>
          </w:tcPr>
          <w:p w14:paraId="75398A9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Tail end</w:t>
            </w:r>
          </w:p>
        </w:tc>
        <w:tc>
          <w:tcPr>
            <w:tcW w:w="1289" w:type="dxa"/>
          </w:tcPr>
          <w:p w14:paraId="3B85C93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21</w:t>
            </w:r>
          </w:p>
        </w:tc>
        <w:tc>
          <w:tcPr>
            <w:tcW w:w="1289" w:type="dxa"/>
          </w:tcPr>
          <w:p w14:paraId="1686575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0.408 ± 0.250</w:t>
            </w:r>
          </w:p>
        </w:tc>
        <w:tc>
          <w:tcPr>
            <w:tcW w:w="1289" w:type="dxa"/>
          </w:tcPr>
          <w:p w14:paraId="3AD2970D">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0.190 ± 0.147</w:t>
            </w:r>
          </w:p>
        </w:tc>
        <w:tc>
          <w:tcPr>
            <w:tcW w:w="1289" w:type="dxa"/>
          </w:tcPr>
          <w:p w14:paraId="3BF9A8C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0.406 ± 0.182</w:t>
            </w:r>
          </w:p>
        </w:tc>
        <w:tc>
          <w:tcPr>
            <w:tcW w:w="1289" w:type="dxa"/>
          </w:tcPr>
          <w:p w14:paraId="73CC0EEA">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r w14:paraId="16F0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9" w:type="dxa"/>
            <w:vMerge w:val="restart"/>
          </w:tcPr>
          <w:p w14:paraId="1D6B04BC">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Scheme</w:t>
            </w:r>
          </w:p>
        </w:tc>
        <w:tc>
          <w:tcPr>
            <w:tcW w:w="1289" w:type="dxa"/>
          </w:tcPr>
          <w:p w14:paraId="2DA1611C">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Minipe D47</w:t>
            </w:r>
          </w:p>
        </w:tc>
        <w:tc>
          <w:tcPr>
            <w:tcW w:w="1289" w:type="dxa"/>
          </w:tcPr>
          <w:p w14:paraId="23174D95">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16</w:t>
            </w:r>
          </w:p>
        </w:tc>
        <w:tc>
          <w:tcPr>
            <w:tcW w:w="1289" w:type="dxa"/>
          </w:tcPr>
          <w:p w14:paraId="500821D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0.490 ± 0.430</w:t>
            </w:r>
          </w:p>
        </w:tc>
        <w:tc>
          <w:tcPr>
            <w:tcW w:w="1289" w:type="dxa"/>
          </w:tcPr>
          <w:p w14:paraId="6308528F">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0.263 ± 0.128</w:t>
            </w:r>
          </w:p>
        </w:tc>
        <w:tc>
          <w:tcPr>
            <w:tcW w:w="1289" w:type="dxa"/>
          </w:tcPr>
          <w:p w14:paraId="51541D07">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0.504 ± 0.184</w:t>
            </w:r>
          </w:p>
        </w:tc>
        <w:tc>
          <w:tcPr>
            <w:tcW w:w="1289" w:type="dxa"/>
          </w:tcPr>
          <w:p w14:paraId="22EA70A8">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r w14:paraId="7307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2AEC62F6">
            <w:pPr>
              <w:rPr>
                <w:rFonts w:hint="default" w:ascii="Times New Roman" w:hAnsi="Times New Roman" w:cs="Times New Roman"/>
                <w:color w:val="auto"/>
                <w:sz w:val="15"/>
                <w:szCs w:val="15"/>
                <w:highlight w:val="none"/>
              </w:rPr>
            </w:pPr>
          </w:p>
        </w:tc>
        <w:tc>
          <w:tcPr>
            <w:tcW w:w="1289" w:type="dxa"/>
          </w:tcPr>
          <w:p w14:paraId="499D4BF6">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Maduru Oya PDA</w:t>
            </w:r>
          </w:p>
        </w:tc>
        <w:tc>
          <w:tcPr>
            <w:tcW w:w="1289" w:type="dxa"/>
          </w:tcPr>
          <w:p w14:paraId="3277F8FB">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23</w:t>
            </w:r>
          </w:p>
        </w:tc>
        <w:tc>
          <w:tcPr>
            <w:tcW w:w="1289" w:type="dxa"/>
          </w:tcPr>
          <w:p w14:paraId="3F977C24">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0.367 ± 0.324</w:t>
            </w:r>
          </w:p>
        </w:tc>
        <w:tc>
          <w:tcPr>
            <w:tcW w:w="1289" w:type="dxa"/>
          </w:tcPr>
          <w:p w14:paraId="31824B71">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0.196 ± 0.179</w:t>
            </w:r>
          </w:p>
        </w:tc>
        <w:tc>
          <w:tcPr>
            <w:tcW w:w="1289" w:type="dxa"/>
          </w:tcPr>
          <w:p w14:paraId="6E950A23">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0.383 ± 0.070</w:t>
            </w:r>
          </w:p>
        </w:tc>
        <w:tc>
          <w:tcPr>
            <w:tcW w:w="1289" w:type="dxa"/>
          </w:tcPr>
          <w:p w14:paraId="66B2C39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r w14:paraId="67DC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 w:type="dxa"/>
            <w:vMerge w:val="continue"/>
            <w:tcBorders/>
          </w:tcPr>
          <w:p w14:paraId="011DE924">
            <w:pPr>
              <w:rPr>
                <w:rFonts w:hint="default" w:ascii="Times New Roman" w:hAnsi="Times New Roman" w:cs="Times New Roman"/>
                <w:color w:val="auto"/>
                <w:sz w:val="15"/>
                <w:szCs w:val="15"/>
                <w:highlight w:val="none"/>
              </w:rPr>
            </w:pPr>
          </w:p>
        </w:tc>
        <w:tc>
          <w:tcPr>
            <w:tcW w:w="1289" w:type="dxa"/>
          </w:tcPr>
          <w:p w14:paraId="7385B90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Hurulu Wewa</w:t>
            </w:r>
          </w:p>
        </w:tc>
        <w:tc>
          <w:tcPr>
            <w:tcW w:w="1289" w:type="dxa"/>
          </w:tcPr>
          <w:p w14:paraId="6C194A04">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22</w:t>
            </w:r>
          </w:p>
        </w:tc>
        <w:tc>
          <w:tcPr>
            <w:tcW w:w="1289" w:type="dxa"/>
          </w:tcPr>
          <w:p w14:paraId="21397178">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0.295 ± 0.184</w:t>
            </w:r>
          </w:p>
        </w:tc>
        <w:tc>
          <w:tcPr>
            <w:tcW w:w="1289" w:type="dxa"/>
          </w:tcPr>
          <w:p w14:paraId="33C2BF5E">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0.120 ± 0.095</w:t>
            </w:r>
          </w:p>
        </w:tc>
        <w:tc>
          <w:tcPr>
            <w:tcW w:w="1289" w:type="dxa"/>
          </w:tcPr>
          <w:p w14:paraId="51344A85">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0.223 ± 0.086</w:t>
            </w:r>
          </w:p>
        </w:tc>
        <w:tc>
          <w:tcPr>
            <w:tcW w:w="1289" w:type="dxa"/>
          </w:tcPr>
          <w:p w14:paraId="5E1BB432">
            <w:pPr>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w:t>
            </w:r>
          </w:p>
        </w:tc>
      </w:tr>
    </w:tbl>
    <w:p w14:paraId="71EA01D7">
      <w:pPr>
        <w:spacing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Along the canal, the measured infiltration rate increased from the head reaches (0.287 ± 0.107 cm/h) through the middle (0.368 ± 0.160 cm/h) to the tail reaches (0.406 ± 0.182 cm/h), and this gradient was statistically significant (</w:t>
      </w:r>
      <w:r>
        <w:rPr>
          <w:rFonts w:hint="default" w:ascii="Times New Roman" w:hAnsi="Times New Roman" w:cs="Times New Roman"/>
          <w:color w:val="auto"/>
          <w:sz w:val="21"/>
          <w:szCs w:val="21"/>
          <w:highlight w:val="none"/>
          <w:lang w:eastAsia="zh-CN"/>
        </w:rPr>
        <w:t>KRUSKAL-WALLIS</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 xml:space="preserve">p </w:t>
      </w:r>
      <w:r>
        <w:rPr>
          <w:rFonts w:hint="default" w:ascii="Times New Roman" w:hAnsi="Times New Roman" w:cs="Times New Roman"/>
          <w:color w:val="auto"/>
          <w:sz w:val="21"/>
          <w:szCs w:val="21"/>
          <w:highlight w:val="none"/>
        </w:rPr>
        <w:t>= 0.043). The corresponding gradients in S and K were of the same sign but were not statistically resolvable (</w:t>
      </w:r>
      <w:r>
        <w:rPr>
          <w:rFonts w:hint="default" w:ascii="Times New Roman" w:hAnsi="Times New Roman" w:cs="Times New Roman"/>
          <w:i/>
          <w:iCs/>
          <w:color w:val="auto"/>
          <w:sz w:val="21"/>
          <w:szCs w:val="21"/>
          <w:highlight w:val="none"/>
        </w:rPr>
        <w:t xml:space="preserve">p </w:t>
      </w:r>
      <w:r>
        <w:rPr>
          <w:rFonts w:hint="default" w:ascii="Times New Roman" w:hAnsi="Times New Roman" w:cs="Times New Roman"/>
          <w:color w:val="auto"/>
          <w:sz w:val="21"/>
          <w:szCs w:val="21"/>
          <w:highlight w:val="none"/>
        </w:rPr>
        <w:t xml:space="preserve">= 0.29 and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 0.56, respectively). The most probable cause is progressive deposition of fine suspended sediment in the head reaches, where canal water first enters the command area and flow velocities fall sharply; the resulting surface siltation reduces the effective conducting porosity without necessarily altering the bulk textural class recorded by augering. Between schemes the difference in </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 xml:space="preserve"> was significant (</w:t>
      </w:r>
      <w:r>
        <w:rPr>
          <w:rFonts w:hint="default" w:ascii="Times New Roman" w:hAnsi="Times New Roman" w:cs="Times New Roman"/>
          <w:color w:val="auto"/>
          <w:sz w:val="21"/>
          <w:szCs w:val="21"/>
          <w:highlight w:val="none"/>
          <w:lang w:eastAsia="zh-CN"/>
        </w:rPr>
        <w:t>KRUSKAL-WALLIS</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 xml:space="preserve">p </w:t>
      </w:r>
      <w:r>
        <w:rPr>
          <w:rFonts w:hint="default" w:ascii="Times New Roman" w:hAnsi="Times New Roman" w:cs="Times New Roman"/>
          <w:color w:val="auto"/>
          <w:sz w:val="21"/>
          <w:szCs w:val="21"/>
          <w:highlight w:val="none"/>
        </w:rPr>
        <w:t>= 0.008), with Hurulu Wewa clearly separated from the other two schemes (</w:t>
      </w:r>
      <w:r>
        <w:rPr>
          <w:rFonts w:hint="default" w:ascii="Times New Roman" w:hAnsi="Times New Roman" w:cs="Times New Roman"/>
          <w:i/>
          <w:iCs/>
          <w:color w:val="auto"/>
          <w:sz w:val="21"/>
          <w:szCs w:val="21"/>
          <w:highlight w:val="none"/>
        </w:rPr>
        <w:t>p</w:t>
      </w:r>
      <w:r>
        <w:rPr>
          <w:rFonts w:hint="default" w:ascii="Times New Roman" w:hAnsi="Times New Roman" w:cs="Times New Roman"/>
          <w:color w:val="auto"/>
          <w:sz w:val="21"/>
          <w:szCs w:val="21"/>
          <w:highlight w:val="none"/>
        </w:rPr>
        <w:t xml:space="preserve"> = 0.017), consistent with its uniformly high clay content. It must be stated explicitly that antecedent volumetric moisture content was not measured in this study. All tests were performed during land preparation under ponded, near-saturated conditions, so between-point variability in antecedent moisture is expected to be small relative to the textural signal; nevertheless, the absence of measured initial moisture is a limitation, and the values of S reported here should be read as effective near-saturated sorptivities rather than as sorptivities referenced to a defined initial water content.</w:t>
      </w:r>
    </w:p>
    <w:p w14:paraId="24563D8D">
      <w:pPr>
        <w:spacing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A further physical result emerges from the ratio of the two PHILIP parameters. The characteristic time at which gravity begins to dominate capillarity, </w:t>
      </w:r>
      <w:r>
        <w:rPr>
          <w:rFonts w:hint="default" w:ascii="Times New Roman" w:hAnsi="Times New Roman" w:cs="Times New Roman"/>
          <w:i/>
          <w:iCs/>
          <w:color w:val="auto"/>
          <w:sz w:val="21"/>
          <w:szCs w:val="21"/>
          <w:highlight w:val="none"/>
        </w:rPr>
        <w:t>t</w:t>
      </w:r>
      <w:r>
        <w:rPr>
          <w:rFonts w:hint="default" w:ascii="Times New Roman" w:hAnsi="Times New Roman" w:cs="Times New Roman"/>
          <w:color w:val="auto"/>
          <w:sz w:val="21"/>
          <w:szCs w:val="21"/>
          <w:highlight w:val="none"/>
          <w:vertAlign w:val="subscript"/>
        </w:rPr>
        <w:t>grav</w:t>
      </w:r>
      <w:r>
        <w:rPr>
          <w:rFonts w:hint="default" w:ascii="Times New Roman" w:hAnsi="Times New Roman" w:cs="Times New Roman"/>
          <w:color w:val="auto"/>
          <w:sz w:val="21"/>
          <w:szCs w:val="21"/>
          <w:highlight w:val="none"/>
        </w:rPr>
        <w:t xml:space="preserve"> = (</w:t>
      </w:r>
      <w:r>
        <w:rPr>
          <w:rFonts w:hint="default" w:ascii="Times New Roman" w:hAnsi="Times New Roman" w:cs="Times New Roman"/>
          <w:i/>
          <w:iCs/>
          <w:color w:val="auto"/>
          <w:sz w:val="21"/>
          <w:szCs w:val="21"/>
          <w:highlight w:val="none"/>
        </w:rPr>
        <w:t>S</w:t>
      </w:r>
      <w:r>
        <w:rPr>
          <w:rFonts w:hint="default" w:ascii="Times New Roman" w:hAnsi="Times New Roman" w:cs="Times New Roman"/>
          <w:color w:val="auto"/>
          <w:sz w:val="21"/>
          <w:szCs w:val="21"/>
          <w:highlight w:val="none"/>
        </w:rPr>
        <w:t>/</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had a median value of 5.63 h across the 61 points and exceeded the 2 h duration of the infiltration test at 35 of them (57%). The double-ring measurements therefore sampled predominantly the capillary-dominated, early-time limb of the infiltration curve, in which cumulative infiltration is governed by the S t0.5 term. This is precisely the regime that the PHILIP series was derived to represent, and it explains both why the PHILIP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 formulations reproduced the observations so closely and why HORTON's model performed least well: HORTON's formulation presumes an exponential approach to a genuinely attained steady-state rate fc, whereas at most points a true steady state had not been reached within the measurement window. The same reasoning accounts for the five points at which the fitted fo did not exceed fc. Notably, tgrav was shortest in the sand-bearing classes (class medians 0.03-3.06 h for gravelly sand, clayey sand, gravelly clay and sandy clay) and longest in the clay-dominated classes (4.80 and 8.76 h), the only exception being the four clayey gravel points discussed above. The advantage of the capillarity-explicit PHILIP formulation is therefore expected to be greatest in exactly the heavy-clay profiles that dominate Sri Lankan paddy command areas.</w:t>
      </w:r>
    </w:p>
    <w:bookmarkEnd w:id="10"/>
    <w:p w14:paraId="27910CCD">
      <w:pPr>
        <w:spacing w:after="0" w:line="360" w:lineRule="auto"/>
        <w:jc w:val="both"/>
        <w:rPr>
          <w:rFonts w:hint="default" w:ascii="Times New Roman" w:hAnsi="Times New Roman" w:cs="Times New Roman"/>
          <w:color w:val="auto"/>
          <w:sz w:val="24"/>
          <w:szCs w:val="24"/>
          <w:highlight w:val="none"/>
        </w:rPr>
        <w:sectPr>
          <w:pgSz w:w="11906" w:h="16838"/>
          <w:pgMar w:top="1440" w:right="1440" w:bottom="1080" w:left="1440" w:header="720" w:footer="720" w:gutter="0"/>
          <w:lnNumType w:countBy="1" w:restart="continuous"/>
          <w:cols w:space="720" w:num="1"/>
          <w:docGrid w:linePitch="360" w:charSpace="0"/>
        </w:sectPr>
      </w:pPr>
      <w:r>
        <w:rPr>
          <w:rFonts w:hint="default" w:ascii="Times New Roman" w:hAnsi="Times New Roman" w:cs="Times New Roman"/>
          <w:color w:val="auto"/>
          <w:sz w:val="21"/>
          <w:szCs w:val="21"/>
          <w:highlight w:val="none"/>
        </w:rPr>
        <w:t xml:space="preserve">Because the evaluated infiltration models are deterministic, formal significance testing of model differences was not performed. The best-fit model was selected based on the results in Table </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 a Maximum coefficient of correlation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a minimum Root Mean Square Error (</w:t>
      </w:r>
      <w:r>
        <w:rPr>
          <w:rFonts w:hint="default" w:ascii="Times New Roman" w:hAnsi="Times New Roman" w:cs="Times New Roman"/>
          <w:i/>
          <w:color w:val="auto"/>
          <w:sz w:val="21"/>
          <w:szCs w:val="21"/>
          <w:highlight w:val="none"/>
        </w:rPr>
        <w:t>RMSE</w:t>
      </w:r>
      <w:r>
        <w:rPr>
          <w:rFonts w:hint="default" w:ascii="Times New Roman" w:hAnsi="Times New Roman" w:cs="Times New Roman"/>
          <w:color w:val="auto"/>
          <w:sz w:val="21"/>
          <w:szCs w:val="21"/>
          <w:highlight w:val="none"/>
        </w:rPr>
        <w:t>), and a maximum Nash-Sutcliffe efficiency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In this statistical evaluation, all 23 canal reaches were used with each performance indicator. Comparing the simulated and measured </w:t>
      </w:r>
      <w:bookmarkStart w:id="11" w:name="_Hlk226780886"/>
      <w:r>
        <w:rPr>
          <w:rFonts w:hint="default" w:ascii="Times New Roman" w:hAnsi="Times New Roman" w:cs="Times New Roman"/>
          <w:color w:val="auto"/>
          <w:sz w:val="21"/>
          <w:szCs w:val="21"/>
          <w:highlight w:val="none"/>
        </w:rPr>
        <w:t xml:space="preserve">infiltration </w:t>
      </w:r>
      <w:bookmarkEnd w:id="11"/>
      <w:r>
        <w:rPr>
          <w:rFonts w:hint="default" w:ascii="Times New Roman" w:hAnsi="Times New Roman" w:cs="Times New Roman"/>
          <w:color w:val="auto"/>
          <w:sz w:val="21"/>
          <w:szCs w:val="21"/>
          <w:highlight w:val="none"/>
        </w:rPr>
        <w:t xml:space="preserve">rates at saturation, </w:t>
      </w:r>
      <w:bookmarkStart w:id="12" w:name="_Hlk226790400"/>
      <w:r>
        <w:rPr>
          <w:rFonts w:hint="default" w:ascii="Times New Roman" w:hAnsi="Times New Roman" w:cs="Times New Roman"/>
          <w:color w:val="auto"/>
          <w:sz w:val="21"/>
          <w:szCs w:val="21"/>
          <w:highlight w:val="none"/>
        </w:rPr>
        <w:t>the average R2 and NSE values were computed for the selected four models based on the relationship identified from the scatter plots (Fig. 6)</w:t>
      </w:r>
      <w:bookmarkEnd w:id="12"/>
      <w:r>
        <w:rPr>
          <w:rFonts w:hint="default" w:ascii="Times New Roman" w:hAnsi="Times New Roman" w:cs="Times New Roman"/>
          <w:color w:val="auto"/>
          <w:sz w:val="21"/>
          <w:szCs w:val="21"/>
          <w:highlight w:val="none"/>
        </w:rPr>
        <w:t xml:space="preserve">. The values of the </w:t>
      </w:r>
      <m:oMath>
        <m:r>
          <m:rPr>
            <m:nor/>
          </m:rPr>
          <w:rPr>
            <w:rFonts w:hint="default" w:ascii="DejaVu Math TeX Gyre" w:hAnsi="DejaVu Math TeX Gyre" w:cs="Times New Roman"/>
            <w:i/>
            <w:color w:val="auto"/>
            <w:sz w:val="21"/>
            <w:szCs w:val="21"/>
            <w:highlight w:val="none"/>
          </w:rPr>
          <m:t>r</m:t>
        </m:r>
      </m:oMath>
      <w:r>
        <w:rPr>
          <w:rFonts w:hint="default" w:ascii="Times New Roman" w:hAnsi="Times New Roman" w:cs="Times New Roman"/>
          <w:color w:val="auto"/>
          <w:sz w:val="21"/>
          <w:szCs w:val="21"/>
          <w:highlight w:val="none"/>
        </w:rPr>
        <w:t xml:space="preserve"> range from 0.9206 to 0.9999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from 0.8525 to 0.9999. These values indicate that the fitted models account for almost all of the variability in the calibration data. Ranked by mean performance across all three indices, the order is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PHILIP's, KOSTIAKOV's and </w:t>
      </w:r>
      <w:r>
        <w:rPr>
          <w:rFonts w:hint="default" w:ascii="Times New Roman" w:hAnsi="Times New Roman" w:cs="Times New Roman"/>
          <w:color w:val="auto"/>
          <w:sz w:val="21"/>
          <w:szCs w:val="21"/>
          <w:highlight w:val="none"/>
          <w:lang w:eastAsia="zh-CN"/>
        </w:rPr>
        <w:t>HORTON</w:t>
      </w:r>
      <w:r>
        <w:rPr>
          <w:rFonts w:hint="default" w:ascii="Times New Roman" w:hAnsi="Times New Roman" w:cs="Times New Roman"/>
          <w:color w:val="auto"/>
          <w:sz w:val="21"/>
          <w:szCs w:val="21"/>
          <w:highlight w:val="none"/>
        </w:rPr>
        <w:t xml:space="preserve">'s models. It must be emphasised that these indices describe the quality of fit obtained after each model's parameters had been optimised against the same measured curve; they are calibration statistics, not independent validation statistics. Near-unity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values are therefore expected, and should be interpreted as a measure of each model's structural capacity to reproduce the observed shape of the infiltration curve rather than as evidence of predictive skill at unmeasured locations. Split-sample or leave-one-out validation was not possible because only one reach-averaged infiltration curve was obtained per canal reach; this is acknowledged as a limitation, and independent validation against withheld measurements is recommended in future work.</w:t>
      </w:r>
    </w:p>
    <w:p w14:paraId="02A4E181">
      <w:pPr>
        <w:spacing w:after="0" w:line="360" w:lineRule="auto"/>
        <w:ind w:left="2160" w:leftChars="0" w:hanging="216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 xml:space="preserve">Table </w:t>
      </w:r>
      <w:r>
        <w:rPr>
          <w:rFonts w:hint="default" w:ascii="Times New Roman" w:hAnsi="Times New Roman" w:cs="Times New Roman"/>
          <w:color w:val="auto"/>
          <w:sz w:val="18"/>
          <w:szCs w:val="18"/>
          <w:highlight w:val="none"/>
          <w:lang w:val="en-US" w:eastAsia="zh-CN"/>
        </w:rPr>
        <w:t xml:space="preserve">5 </w:t>
      </w:r>
      <w:r>
        <w:rPr>
          <w:rFonts w:hint="default" w:ascii="Times New Roman" w:hAnsi="Times New Roman" w:cs="Times New Roman"/>
          <w:color w:val="auto"/>
          <w:sz w:val="18"/>
          <w:szCs w:val="18"/>
          <w:highlight w:val="none"/>
        </w:rPr>
        <w:t xml:space="preserve"> Performance evaluation parameters of the different infiltration models</w:t>
      </w:r>
    </w:p>
    <w:p w14:paraId="15C75197">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表5</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不同入渗模型的性能评价参数</w:t>
      </w:r>
    </w:p>
    <w:tbl>
      <w:tblPr>
        <w:tblStyle w:val="20"/>
        <w:tblW w:w="5000" w:type="pct"/>
        <w:jc w:val="center"/>
        <w:tblLayout w:type="autofit"/>
        <w:tblCellMar>
          <w:top w:w="0" w:type="dxa"/>
          <w:left w:w="108" w:type="dxa"/>
          <w:bottom w:w="0" w:type="dxa"/>
          <w:right w:w="108" w:type="dxa"/>
        </w:tblCellMar>
      </w:tblPr>
      <w:tblGrid>
        <w:gridCol w:w="1253"/>
        <w:gridCol w:w="1286"/>
        <w:gridCol w:w="856"/>
        <w:gridCol w:w="1041"/>
        <w:gridCol w:w="657"/>
        <w:gridCol w:w="806"/>
        <w:gridCol w:w="1209"/>
        <w:gridCol w:w="1041"/>
        <w:gridCol w:w="657"/>
        <w:gridCol w:w="806"/>
        <w:gridCol w:w="1209"/>
        <w:gridCol w:w="1041"/>
        <w:gridCol w:w="657"/>
        <w:gridCol w:w="806"/>
        <w:gridCol w:w="1209"/>
      </w:tblGrid>
      <w:tr w14:paraId="43033029">
        <w:tblPrEx>
          <w:tblCellMar>
            <w:top w:w="0" w:type="dxa"/>
            <w:left w:w="108" w:type="dxa"/>
            <w:bottom w:w="0" w:type="dxa"/>
            <w:right w:w="108" w:type="dxa"/>
          </w:tblCellMar>
        </w:tblPrEx>
        <w:trPr>
          <w:trHeight w:val="272" w:hRule="atLeast"/>
          <w:jc w:val="center"/>
        </w:trPr>
        <w:tc>
          <w:tcPr>
            <w:tcW w:w="873" w:type="pct"/>
            <w:gridSpan w:val="2"/>
            <w:vMerge w:val="restart"/>
            <w:tcBorders>
              <w:top w:val="single" w:color="auto" w:sz="4" w:space="0"/>
              <w:left w:val="single" w:color="auto" w:sz="4" w:space="0"/>
              <w:bottom w:val="single" w:color="auto" w:sz="4" w:space="0"/>
              <w:right w:val="single" w:color="auto" w:sz="4" w:space="0"/>
            </w:tcBorders>
            <w:noWrap/>
            <w:vAlign w:val="center"/>
          </w:tcPr>
          <w:p w14:paraId="0A6BBAD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Field Canal</w:t>
            </w:r>
          </w:p>
        </w:tc>
        <w:tc>
          <w:tcPr>
            <w:tcW w:w="294" w:type="pct"/>
            <w:vMerge w:val="restart"/>
            <w:tcBorders>
              <w:top w:val="single" w:color="auto" w:sz="4" w:space="0"/>
              <w:left w:val="single" w:color="auto" w:sz="4" w:space="0"/>
              <w:bottom w:val="single" w:color="auto" w:sz="4" w:space="0"/>
              <w:right w:val="single" w:color="auto" w:sz="4" w:space="0"/>
            </w:tcBorders>
            <w:noWrap/>
            <w:vAlign w:val="center"/>
          </w:tcPr>
          <w:p w14:paraId="61EBFE6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Canal Area</w:t>
            </w:r>
          </w:p>
        </w:tc>
        <w:tc>
          <w:tcPr>
            <w:tcW w:w="1277" w:type="pct"/>
            <w:gridSpan w:val="4"/>
            <w:tcBorders>
              <w:top w:val="single" w:color="auto" w:sz="4" w:space="0"/>
              <w:left w:val="nil"/>
              <w:bottom w:val="single" w:color="auto" w:sz="4" w:space="0"/>
              <w:right w:val="single" w:color="auto" w:sz="4" w:space="0"/>
            </w:tcBorders>
            <w:noWrap/>
            <w:vAlign w:val="center"/>
          </w:tcPr>
          <w:p w14:paraId="358AE77C">
            <w:pPr>
              <w:spacing w:after="0" w:line="240" w:lineRule="auto"/>
              <w:jc w:val="center"/>
              <w:rPr>
                <w:rFonts w:hint="default" w:ascii="Times New Roman" w:hAnsi="Times New Roman" w:eastAsia="Times New Roman" w:cs="Times New Roman"/>
                <w:i/>
                <w:iCs/>
                <w:color w:val="auto"/>
                <w:sz w:val="15"/>
                <w:szCs w:val="15"/>
                <w:highlight w:val="none"/>
              </w:rPr>
            </w:pPr>
            <w:r>
              <w:rPr>
                <w:rFonts w:hint="default" w:ascii="Times New Roman" w:hAnsi="Times New Roman" w:eastAsia="Times New Roman" w:cs="Times New Roman"/>
                <w:i/>
                <w:iCs/>
                <w:color w:val="auto"/>
                <w:sz w:val="15"/>
                <w:szCs w:val="15"/>
                <w:highlight w:val="none"/>
              </w:rPr>
              <w:t>R</w:t>
            </w:r>
            <w:r>
              <w:rPr>
                <w:rFonts w:hint="default" w:ascii="Times New Roman" w:hAnsi="Times New Roman" w:eastAsia="Times New Roman" w:cs="Times New Roman"/>
                <w:color w:val="auto"/>
                <w:sz w:val="15"/>
                <w:szCs w:val="15"/>
                <w:highlight w:val="none"/>
                <w:vertAlign w:val="superscript"/>
              </w:rPr>
              <w:t>2</w:t>
            </w:r>
          </w:p>
        </w:tc>
        <w:tc>
          <w:tcPr>
            <w:tcW w:w="1277" w:type="pct"/>
            <w:gridSpan w:val="4"/>
            <w:tcBorders>
              <w:top w:val="single" w:color="auto" w:sz="4" w:space="0"/>
              <w:left w:val="nil"/>
              <w:bottom w:val="single" w:color="auto" w:sz="4" w:space="0"/>
              <w:right w:val="single" w:color="auto" w:sz="4" w:space="0"/>
            </w:tcBorders>
            <w:noWrap/>
            <w:vAlign w:val="center"/>
          </w:tcPr>
          <w:p w14:paraId="2CDF4E33">
            <w:pPr>
              <w:spacing w:after="0" w:line="240" w:lineRule="auto"/>
              <w:jc w:val="center"/>
              <w:rPr>
                <w:rFonts w:hint="default" w:ascii="Times New Roman" w:hAnsi="Times New Roman" w:eastAsia="Times New Roman" w:cs="Times New Roman"/>
                <w:i/>
                <w:iCs/>
                <w:color w:val="auto"/>
                <w:sz w:val="15"/>
                <w:szCs w:val="15"/>
                <w:highlight w:val="none"/>
              </w:rPr>
            </w:pPr>
            <w:r>
              <w:rPr>
                <w:rFonts w:hint="default" w:ascii="Times New Roman" w:hAnsi="Times New Roman" w:eastAsia="Times New Roman" w:cs="Times New Roman"/>
                <w:i/>
                <w:iCs/>
                <w:color w:val="auto"/>
                <w:sz w:val="15"/>
                <w:szCs w:val="15"/>
                <w:highlight w:val="none"/>
              </w:rPr>
              <w:t>RMSE</w:t>
            </w:r>
          </w:p>
        </w:tc>
        <w:tc>
          <w:tcPr>
            <w:tcW w:w="1277" w:type="pct"/>
            <w:gridSpan w:val="4"/>
            <w:tcBorders>
              <w:top w:val="single" w:color="auto" w:sz="4" w:space="0"/>
              <w:left w:val="nil"/>
              <w:bottom w:val="single" w:color="auto" w:sz="4" w:space="0"/>
              <w:right w:val="single" w:color="auto" w:sz="4" w:space="0"/>
            </w:tcBorders>
            <w:noWrap/>
            <w:vAlign w:val="center"/>
          </w:tcPr>
          <w:p w14:paraId="0DC7BF51">
            <w:pPr>
              <w:spacing w:after="0" w:line="240" w:lineRule="auto"/>
              <w:jc w:val="center"/>
              <w:rPr>
                <w:rFonts w:hint="default" w:ascii="Times New Roman" w:hAnsi="Times New Roman" w:eastAsia="Times New Roman" w:cs="Times New Roman"/>
                <w:i/>
                <w:iCs/>
                <w:color w:val="auto"/>
                <w:sz w:val="15"/>
                <w:szCs w:val="15"/>
                <w:highlight w:val="none"/>
              </w:rPr>
            </w:pPr>
            <w:r>
              <w:rPr>
                <w:rFonts w:hint="default" w:ascii="Times New Roman" w:hAnsi="Times New Roman" w:eastAsia="Times New Roman" w:cs="Times New Roman"/>
                <w:i/>
                <w:iCs/>
                <w:color w:val="auto"/>
                <w:sz w:val="15"/>
                <w:szCs w:val="15"/>
                <w:highlight w:val="none"/>
              </w:rPr>
              <w:t>NSE</w:t>
            </w:r>
          </w:p>
        </w:tc>
      </w:tr>
      <w:tr w14:paraId="66AAF7DB">
        <w:tblPrEx>
          <w:tblCellMar>
            <w:top w:w="0" w:type="dxa"/>
            <w:left w:w="108" w:type="dxa"/>
            <w:bottom w:w="0" w:type="dxa"/>
            <w:right w:w="108" w:type="dxa"/>
          </w:tblCellMar>
        </w:tblPrEx>
        <w:trPr>
          <w:trHeight w:val="272" w:hRule="atLeast"/>
          <w:jc w:val="center"/>
        </w:trPr>
        <w:tc>
          <w:tcPr>
            <w:tcW w:w="873" w:type="pct"/>
            <w:gridSpan w:val="2"/>
            <w:vMerge w:val="continue"/>
            <w:tcBorders>
              <w:top w:val="single" w:color="auto" w:sz="4" w:space="0"/>
              <w:left w:val="single" w:color="auto" w:sz="4" w:space="0"/>
              <w:bottom w:val="single" w:color="auto" w:sz="4" w:space="0"/>
              <w:right w:val="single" w:color="auto" w:sz="4" w:space="0"/>
            </w:tcBorders>
            <w:vAlign w:val="center"/>
          </w:tcPr>
          <w:p w14:paraId="6C5B7566">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vMerge w:val="continue"/>
            <w:tcBorders>
              <w:top w:val="single" w:color="auto" w:sz="4" w:space="0"/>
              <w:left w:val="single" w:color="auto" w:sz="4" w:space="0"/>
              <w:bottom w:val="single" w:color="auto" w:sz="4" w:space="0"/>
              <w:right w:val="single" w:color="auto" w:sz="4" w:space="0"/>
            </w:tcBorders>
            <w:vAlign w:val="center"/>
          </w:tcPr>
          <w:p w14:paraId="0BB3C876">
            <w:pPr>
              <w:spacing w:after="0" w:line="240" w:lineRule="auto"/>
              <w:jc w:val="both"/>
              <w:rPr>
                <w:rFonts w:hint="default" w:ascii="Times New Roman" w:hAnsi="Times New Roman" w:eastAsia="Times New Roman" w:cs="Times New Roman"/>
                <w:color w:val="auto"/>
                <w:sz w:val="15"/>
                <w:szCs w:val="15"/>
                <w:highlight w:val="none"/>
              </w:rPr>
            </w:pPr>
          </w:p>
        </w:tc>
        <w:tc>
          <w:tcPr>
            <w:tcW w:w="358" w:type="pct"/>
            <w:tcBorders>
              <w:top w:val="nil"/>
              <w:left w:val="nil"/>
              <w:bottom w:val="single" w:color="auto" w:sz="4" w:space="0"/>
              <w:right w:val="single" w:color="auto" w:sz="4" w:space="0"/>
            </w:tcBorders>
            <w:noWrap/>
            <w:vAlign w:val="center"/>
          </w:tcPr>
          <w:p w14:paraId="0B1E1AD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KOSTIAKOV</w:t>
            </w:r>
          </w:p>
        </w:tc>
        <w:tc>
          <w:tcPr>
            <w:tcW w:w="226" w:type="pct"/>
            <w:tcBorders>
              <w:top w:val="nil"/>
              <w:left w:val="nil"/>
              <w:bottom w:val="single" w:color="auto" w:sz="4" w:space="0"/>
              <w:right w:val="single" w:color="auto" w:sz="4" w:space="0"/>
            </w:tcBorders>
            <w:noWrap/>
            <w:vAlign w:val="center"/>
          </w:tcPr>
          <w:p w14:paraId="1CF8073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PHILIP</w:t>
            </w:r>
          </w:p>
        </w:tc>
        <w:tc>
          <w:tcPr>
            <w:tcW w:w="277" w:type="pct"/>
            <w:tcBorders>
              <w:top w:val="nil"/>
              <w:left w:val="nil"/>
              <w:bottom w:val="single" w:color="auto" w:sz="4" w:space="0"/>
              <w:right w:val="single" w:color="auto" w:sz="4" w:space="0"/>
            </w:tcBorders>
            <w:noWrap/>
            <w:vAlign w:val="center"/>
          </w:tcPr>
          <w:p w14:paraId="7238A3E9">
            <w:pPr>
              <w:spacing w:after="0" w:line="240" w:lineRule="auto"/>
              <w:jc w:val="both"/>
              <w:rPr>
                <w:rFonts w:hint="default" w:ascii="Times New Roman" w:hAnsi="Times New Roman" w:eastAsia="宋体" w:cs="Times New Roman"/>
                <w:color w:val="auto"/>
                <w:sz w:val="15"/>
                <w:szCs w:val="15"/>
                <w:highlight w:val="none"/>
                <w:lang w:eastAsia="zh-CN"/>
              </w:rPr>
            </w:pPr>
            <w:r>
              <w:rPr>
                <w:rFonts w:hint="default" w:ascii="Times New Roman" w:hAnsi="Times New Roman" w:eastAsia="宋体" w:cs="Times New Roman"/>
                <w:color w:val="auto"/>
                <w:sz w:val="15"/>
                <w:szCs w:val="15"/>
                <w:highlight w:val="none"/>
                <w:lang w:eastAsia="zh-CN"/>
              </w:rPr>
              <w:t>HORTON</w:t>
            </w:r>
          </w:p>
        </w:tc>
        <w:tc>
          <w:tcPr>
            <w:tcW w:w="415" w:type="pct"/>
            <w:tcBorders>
              <w:top w:val="nil"/>
              <w:left w:val="nil"/>
              <w:bottom w:val="single" w:color="auto" w:sz="4" w:space="0"/>
              <w:right w:val="single" w:color="auto" w:sz="4" w:space="0"/>
            </w:tcBorders>
            <w:noWrap/>
            <w:vAlign w:val="center"/>
          </w:tcPr>
          <w:p w14:paraId="01F51BE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宋体" w:cs="Times New Roman"/>
                <w:color w:val="auto"/>
                <w:sz w:val="15"/>
                <w:szCs w:val="15"/>
                <w:highlight w:val="none"/>
                <w:lang w:eastAsia="zh-CN"/>
              </w:rPr>
              <w:t>GREEN-AMPT</w:t>
            </w:r>
            <w:r>
              <w:rPr>
                <w:rFonts w:hint="default" w:ascii="Times New Roman" w:hAnsi="Times New Roman" w:eastAsia="Times New Roman" w:cs="Times New Roman"/>
                <w:color w:val="auto"/>
                <w:sz w:val="15"/>
                <w:szCs w:val="15"/>
                <w:highlight w:val="none"/>
              </w:rPr>
              <w:t>'s</w:t>
            </w:r>
          </w:p>
        </w:tc>
        <w:tc>
          <w:tcPr>
            <w:tcW w:w="358" w:type="pct"/>
            <w:tcBorders>
              <w:top w:val="nil"/>
              <w:left w:val="nil"/>
              <w:bottom w:val="single" w:color="auto" w:sz="4" w:space="0"/>
              <w:right w:val="single" w:color="auto" w:sz="4" w:space="0"/>
            </w:tcBorders>
            <w:noWrap/>
            <w:vAlign w:val="center"/>
          </w:tcPr>
          <w:p w14:paraId="333D3DB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KOSTIAKOV</w:t>
            </w:r>
          </w:p>
        </w:tc>
        <w:tc>
          <w:tcPr>
            <w:tcW w:w="226" w:type="pct"/>
            <w:tcBorders>
              <w:top w:val="nil"/>
              <w:left w:val="nil"/>
              <w:bottom w:val="single" w:color="auto" w:sz="4" w:space="0"/>
              <w:right w:val="single" w:color="auto" w:sz="4" w:space="0"/>
            </w:tcBorders>
            <w:noWrap/>
            <w:vAlign w:val="center"/>
          </w:tcPr>
          <w:p w14:paraId="4F75A7E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PHILIP</w:t>
            </w:r>
          </w:p>
        </w:tc>
        <w:tc>
          <w:tcPr>
            <w:tcW w:w="277" w:type="pct"/>
            <w:tcBorders>
              <w:top w:val="nil"/>
              <w:left w:val="nil"/>
              <w:bottom w:val="single" w:color="auto" w:sz="4" w:space="0"/>
              <w:right w:val="single" w:color="auto" w:sz="4" w:space="0"/>
            </w:tcBorders>
            <w:noWrap/>
            <w:vAlign w:val="center"/>
          </w:tcPr>
          <w:p w14:paraId="6FB6C3D2">
            <w:pPr>
              <w:spacing w:after="0" w:line="240" w:lineRule="auto"/>
              <w:jc w:val="both"/>
              <w:rPr>
                <w:rFonts w:hint="default" w:ascii="Times New Roman" w:hAnsi="Times New Roman" w:eastAsia="宋体" w:cs="Times New Roman"/>
                <w:color w:val="auto"/>
                <w:sz w:val="15"/>
                <w:szCs w:val="15"/>
                <w:highlight w:val="none"/>
                <w:lang w:eastAsia="zh-CN"/>
              </w:rPr>
            </w:pPr>
            <w:r>
              <w:rPr>
                <w:rFonts w:hint="default" w:ascii="Times New Roman" w:hAnsi="Times New Roman" w:eastAsia="宋体" w:cs="Times New Roman"/>
                <w:color w:val="auto"/>
                <w:sz w:val="15"/>
                <w:szCs w:val="15"/>
                <w:highlight w:val="none"/>
                <w:lang w:eastAsia="zh-CN"/>
              </w:rPr>
              <w:t>HORTON</w:t>
            </w:r>
          </w:p>
        </w:tc>
        <w:tc>
          <w:tcPr>
            <w:tcW w:w="415" w:type="pct"/>
            <w:tcBorders>
              <w:top w:val="nil"/>
              <w:left w:val="nil"/>
              <w:bottom w:val="single" w:color="auto" w:sz="4" w:space="0"/>
              <w:right w:val="single" w:color="auto" w:sz="4" w:space="0"/>
            </w:tcBorders>
            <w:noWrap/>
            <w:vAlign w:val="center"/>
          </w:tcPr>
          <w:p w14:paraId="5183420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宋体" w:cs="Times New Roman"/>
                <w:color w:val="auto"/>
                <w:sz w:val="15"/>
                <w:szCs w:val="15"/>
                <w:highlight w:val="none"/>
                <w:lang w:eastAsia="zh-CN"/>
              </w:rPr>
              <w:t>GREEN-AMPT</w:t>
            </w:r>
            <w:r>
              <w:rPr>
                <w:rFonts w:hint="default" w:ascii="Times New Roman" w:hAnsi="Times New Roman" w:eastAsia="Times New Roman" w:cs="Times New Roman"/>
                <w:color w:val="auto"/>
                <w:sz w:val="15"/>
                <w:szCs w:val="15"/>
                <w:highlight w:val="none"/>
              </w:rPr>
              <w:t>'s</w:t>
            </w:r>
          </w:p>
        </w:tc>
        <w:tc>
          <w:tcPr>
            <w:tcW w:w="358" w:type="pct"/>
            <w:tcBorders>
              <w:top w:val="nil"/>
              <w:left w:val="nil"/>
              <w:bottom w:val="single" w:color="auto" w:sz="4" w:space="0"/>
              <w:right w:val="single" w:color="auto" w:sz="4" w:space="0"/>
            </w:tcBorders>
            <w:noWrap/>
            <w:vAlign w:val="center"/>
          </w:tcPr>
          <w:p w14:paraId="3387FDC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KOSTIAKOV</w:t>
            </w:r>
          </w:p>
        </w:tc>
        <w:tc>
          <w:tcPr>
            <w:tcW w:w="226" w:type="pct"/>
            <w:tcBorders>
              <w:top w:val="nil"/>
              <w:left w:val="nil"/>
              <w:bottom w:val="single" w:color="auto" w:sz="4" w:space="0"/>
              <w:right w:val="single" w:color="auto" w:sz="4" w:space="0"/>
            </w:tcBorders>
            <w:noWrap/>
            <w:vAlign w:val="center"/>
          </w:tcPr>
          <w:p w14:paraId="0320685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PHILIP</w:t>
            </w:r>
          </w:p>
        </w:tc>
        <w:tc>
          <w:tcPr>
            <w:tcW w:w="277" w:type="pct"/>
            <w:tcBorders>
              <w:top w:val="nil"/>
              <w:left w:val="nil"/>
              <w:bottom w:val="single" w:color="auto" w:sz="4" w:space="0"/>
              <w:right w:val="single" w:color="auto" w:sz="4" w:space="0"/>
            </w:tcBorders>
            <w:noWrap/>
            <w:vAlign w:val="center"/>
          </w:tcPr>
          <w:p w14:paraId="0D503E75">
            <w:pPr>
              <w:spacing w:after="0" w:line="240" w:lineRule="auto"/>
              <w:jc w:val="both"/>
              <w:rPr>
                <w:rFonts w:hint="default" w:ascii="Times New Roman" w:hAnsi="Times New Roman" w:eastAsia="宋体" w:cs="Times New Roman"/>
                <w:color w:val="auto"/>
                <w:sz w:val="15"/>
                <w:szCs w:val="15"/>
                <w:highlight w:val="none"/>
                <w:lang w:eastAsia="zh-CN"/>
              </w:rPr>
            </w:pPr>
            <w:r>
              <w:rPr>
                <w:rFonts w:hint="default" w:ascii="Times New Roman" w:hAnsi="Times New Roman" w:eastAsia="宋体" w:cs="Times New Roman"/>
                <w:color w:val="auto"/>
                <w:sz w:val="15"/>
                <w:szCs w:val="15"/>
                <w:highlight w:val="none"/>
                <w:lang w:eastAsia="zh-CN"/>
              </w:rPr>
              <w:t>HORTON</w:t>
            </w:r>
          </w:p>
        </w:tc>
        <w:tc>
          <w:tcPr>
            <w:tcW w:w="415" w:type="pct"/>
            <w:tcBorders>
              <w:top w:val="nil"/>
              <w:left w:val="nil"/>
              <w:bottom w:val="single" w:color="auto" w:sz="4" w:space="0"/>
              <w:right w:val="single" w:color="auto" w:sz="4" w:space="0"/>
            </w:tcBorders>
            <w:noWrap/>
            <w:vAlign w:val="center"/>
          </w:tcPr>
          <w:p w14:paraId="5A78C85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宋体" w:cs="Times New Roman"/>
                <w:color w:val="auto"/>
                <w:sz w:val="15"/>
                <w:szCs w:val="15"/>
                <w:highlight w:val="none"/>
                <w:lang w:eastAsia="zh-CN"/>
              </w:rPr>
              <w:t>GREEN-AMPT</w:t>
            </w:r>
            <w:r>
              <w:rPr>
                <w:rFonts w:hint="default" w:ascii="Times New Roman" w:hAnsi="Times New Roman" w:eastAsia="Times New Roman" w:cs="Times New Roman"/>
                <w:color w:val="auto"/>
                <w:sz w:val="15"/>
                <w:szCs w:val="15"/>
                <w:highlight w:val="none"/>
              </w:rPr>
              <w:t>'s</w:t>
            </w:r>
          </w:p>
        </w:tc>
      </w:tr>
      <w:tr w14:paraId="31CDBB56">
        <w:tblPrEx>
          <w:tblCellMar>
            <w:top w:w="0" w:type="dxa"/>
            <w:left w:w="108" w:type="dxa"/>
            <w:bottom w:w="0" w:type="dxa"/>
            <w:right w:w="108" w:type="dxa"/>
          </w:tblCellMar>
        </w:tblPrEx>
        <w:trPr>
          <w:trHeight w:val="272" w:hRule="atLeast"/>
          <w:jc w:val="center"/>
        </w:trPr>
        <w:tc>
          <w:tcPr>
            <w:tcW w:w="431" w:type="pct"/>
            <w:vMerge w:val="restart"/>
            <w:tcBorders>
              <w:top w:val="nil"/>
              <w:left w:val="single" w:color="auto" w:sz="4" w:space="0"/>
              <w:bottom w:val="single" w:color="auto" w:sz="4" w:space="0"/>
              <w:right w:val="single" w:color="auto" w:sz="4" w:space="0"/>
            </w:tcBorders>
            <w:noWrap/>
            <w:vAlign w:val="center"/>
          </w:tcPr>
          <w:p w14:paraId="47F36EF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Minipe D47</w:t>
            </w:r>
          </w:p>
        </w:tc>
        <w:tc>
          <w:tcPr>
            <w:tcW w:w="442" w:type="pct"/>
            <w:vMerge w:val="restart"/>
            <w:tcBorders>
              <w:top w:val="nil"/>
              <w:left w:val="single" w:color="auto" w:sz="4" w:space="0"/>
              <w:bottom w:val="single" w:color="auto" w:sz="4" w:space="0"/>
              <w:right w:val="single" w:color="auto" w:sz="4" w:space="0"/>
            </w:tcBorders>
            <w:noWrap/>
            <w:vAlign w:val="center"/>
          </w:tcPr>
          <w:p w14:paraId="60F3D9F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1/D47</w:t>
            </w:r>
          </w:p>
        </w:tc>
        <w:tc>
          <w:tcPr>
            <w:tcW w:w="294" w:type="pct"/>
            <w:tcBorders>
              <w:top w:val="nil"/>
              <w:left w:val="nil"/>
              <w:bottom w:val="single" w:color="auto" w:sz="4" w:space="0"/>
              <w:right w:val="single" w:color="auto" w:sz="4" w:space="0"/>
            </w:tcBorders>
            <w:noWrap/>
            <w:vAlign w:val="center"/>
          </w:tcPr>
          <w:p w14:paraId="05FE688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0BFBA2B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4F9DDA0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75C274C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400679D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537C0F1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0.0866</w:t>
            </w:r>
          </w:p>
        </w:tc>
        <w:tc>
          <w:tcPr>
            <w:tcW w:w="226" w:type="pct"/>
            <w:tcBorders>
              <w:top w:val="nil"/>
              <w:left w:val="nil"/>
              <w:bottom w:val="single" w:color="auto" w:sz="4" w:space="0"/>
              <w:right w:val="single" w:color="auto" w:sz="4" w:space="0"/>
            </w:tcBorders>
            <w:noWrap/>
            <w:vAlign w:val="center"/>
          </w:tcPr>
          <w:p w14:paraId="595B6F6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277" w:type="pct"/>
            <w:tcBorders>
              <w:top w:val="nil"/>
              <w:left w:val="nil"/>
              <w:bottom w:val="single" w:color="auto" w:sz="4" w:space="0"/>
              <w:right w:val="single" w:color="auto" w:sz="4" w:space="0"/>
            </w:tcBorders>
            <w:noWrap/>
            <w:vAlign w:val="center"/>
          </w:tcPr>
          <w:p w14:paraId="23CD5C9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0.0965</w:t>
            </w:r>
          </w:p>
        </w:tc>
        <w:tc>
          <w:tcPr>
            <w:tcW w:w="415" w:type="pct"/>
            <w:tcBorders>
              <w:top w:val="nil"/>
              <w:left w:val="nil"/>
              <w:bottom w:val="single" w:color="auto" w:sz="4" w:space="0"/>
              <w:right w:val="single" w:color="auto" w:sz="4" w:space="0"/>
            </w:tcBorders>
            <w:noWrap/>
            <w:vAlign w:val="center"/>
          </w:tcPr>
          <w:p w14:paraId="18650F9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78135FA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0.8525</w:t>
            </w:r>
          </w:p>
        </w:tc>
        <w:tc>
          <w:tcPr>
            <w:tcW w:w="226" w:type="pct"/>
            <w:tcBorders>
              <w:top w:val="nil"/>
              <w:left w:val="nil"/>
              <w:bottom w:val="single" w:color="auto" w:sz="4" w:space="0"/>
              <w:right w:val="single" w:color="auto" w:sz="4" w:space="0"/>
            </w:tcBorders>
            <w:noWrap/>
            <w:vAlign w:val="center"/>
          </w:tcPr>
          <w:p w14:paraId="1A488C8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C44571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0.9674</w:t>
            </w:r>
          </w:p>
        </w:tc>
        <w:tc>
          <w:tcPr>
            <w:tcW w:w="415" w:type="pct"/>
            <w:tcBorders>
              <w:top w:val="nil"/>
              <w:left w:val="nil"/>
              <w:bottom w:val="single" w:color="auto" w:sz="4" w:space="0"/>
              <w:right w:val="single" w:color="auto" w:sz="4" w:space="0"/>
            </w:tcBorders>
            <w:noWrap/>
            <w:vAlign w:val="center"/>
          </w:tcPr>
          <w:p w14:paraId="14CDAF6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2D31A572">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3C989454">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447F3C4C">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60390B0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0768AFB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562A8ED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0.9995</w:t>
            </w:r>
          </w:p>
        </w:tc>
        <w:tc>
          <w:tcPr>
            <w:tcW w:w="277" w:type="pct"/>
            <w:tcBorders>
              <w:top w:val="nil"/>
              <w:left w:val="nil"/>
              <w:bottom w:val="single" w:color="auto" w:sz="4" w:space="0"/>
              <w:right w:val="single" w:color="auto" w:sz="4" w:space="0"/>
            </w:tcBorders>
            <w:noWrap/>
            <w:vAlign w:val="center"/>
          </w:tcPr>
          <w:p w14:paraId="39B7D71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0.9907</w:t>
            </w:r>
          </w:p>
        </w:tc>
        <w:tc>
          <w:tcPr>
            <w:tcW w:w="415" w:type="pct"/>
            <w:tcBorders>
              <w:top w:val="nil"/>
              <w:left w:val="nil"/>
              <w:bottom w:val="single" w:color="auto" w:sz="4" w:space="0"/>
              <w:right w:val="single" w:color="auto" w:sz="4" w:space="0"/>
            </w:tcBorders>
            <w:noWrap/>
            <w:vAlign w:val="center"/>
          </w:tcPr>
          <w:p w14:paraId="5CC3F55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0.9989</w:t>
            </w:r>
          </w:p>
        </w:tc>
        <w:tc>
          <w:tcPr>
            <w:tcW w:w="358" w:type="pct"/>
            <w:tcBorders>
              <w:top w:val="nil"/>
              <w:left w:val="nil"/>
              <w:bottom w:val="single" w:color="auto" w:sz="4" w:space="0"/>
              <w:right w:val="single" w:color="auto" w:sz="4" w:space="0"/>
            </w:tcBorders>
            <w:noWrap/>
            <w:vAlign w:val="center"/>
          </w:tcPr>
          <w:p w14:paraId="64A7A5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0.0057</w:t>
            </w:r>
          </w:p>
        </w:tc>
        <w:tc>
          <w:tcPr>
            <w:tcW w:w="226" w:type="pct"/>
            <w:tcBorders>
              <w:top w:val="nil"/>
              <w:left w:val="nil"/>
              <w:bottom w:val="single" w:color="auto" w:sz="4" w:space="0"/>
              <w:right w:val="single" w:color="auto" w:sz="4" w:space="0"/>
            </w:tcBorders>
            <w:noWrap/>
            <w:vAlign w:val="center"/>
          </w:tcPr>
          <w:p w14:paraId="0E8527B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0.0057</w:t>
            </w:r>
          </w:p>
        </w:tc>
        <w:tc>
          <w:tcPr>
            <w:tcW w:w="277" w:type="pct"/>
            <w:tcBorders>
              <w:top w:val="nil"/>
              <w:left w:val="nil"/>
              <w:bottom w:val="single" w:color="auto" w:sz="4" w:space="0"/>
              <w:right w:val="single" w:color="auto" w:sz="4" w:space="0"/>
            </w:tcBorders>
            <w:noWrap/>
            <w:vAlign w:val="center"/>
          </w:tcPr>
          <w:p w14:paraId="2551A0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0.3567</w:t>
            </w:r>
          </w:p>
        </w:tc>
        <w:tc>
          <w:tcPr>
            <w:tcW w:w="415" w:type="pct"/>
            <w:tcBorders>
              <w:top w:val="nil"/>
              <w:left w:val="nil"/>
              <w:bottom w:val="single" w:color="auto" w:sz="4" w:space="0"/>
              <w:right w:val="single" w:color="auto" w:sz="4" w:space="0"/>
            </w:tcBorders>
            <w:noWrap/>
            <w:vAlign w:val="center"/>
          </w:tcPr>
          <w:p w14:paraId="477C97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0.0023</w:t>
            </w:r>
          </w:p>
        </w:tc>
        <w:tc>
          <w:tcPr>
            <w:tcW w:w="358" w:type="pct"/>
            <w:tcBorders>
              <w:top w:val="nil"/>
              <w:left w:val="nil"/>
              <w:bottom w:val="single" w:color="auto" w:sz="4" w:space="0"/>
              <w:right w:val="single" w:color="auto" w:sz="4" w:space="0"/>
            </w:tcBorders>
            <w:noWrap/>
            <w:vAlign w:val="center"/>
          </w:tcPr>
          <w:p w14:paraId="11CCFFD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007EA12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14F875A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1AC5B15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54828434">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64A4DD24">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23C4A4A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FC1/D47 LB</w:t>
            </w:r>
          </w:p>
        </w:tc>
        <w:tc>
          <w:tcPr>
            <w:tcW w:w="294" w:type="pct"/>
            <w:tcBorders>
              <w:top w:val="nil"/>
              <w:left w:val="nil"/>
              <w:bottom w:val="single" w:color="auto" w:sz="4" w:space="0"/>
              <w:right w:val="single" w:color="auto" w:sz="4" w:space="0"/>
            </w:tcBorders>
            <w:noWrap/>
            <w:vAlign w:val="center"/>
          </w:tcPr>
          <w:p w14:paraId="49ED727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354DD46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0.9994</w:t>
            </w:r>
          </w:p>
        </w:tc>
        <w:tc>
          <w:tcPr>
            <w:tcW w:w="226" w:type="pct"/>
            <w:tcBorders>
              <w:top w:val="nil"/>
              <w:left w:val="nil"/>
              <w:bottom w:val="single" w:color="auto" w:sz="4" w:space="0"/>
              <w:right w:val="single" w:color="auto" w:sz="4" w:space="0"/>
            </w:tcBorders>
            <w:noWrap/>
            <w:vAlign w:val="center"/>
          </w:tcPr>
          <w:p w14:paraId="05D9D5E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0.9998</w:t>
            </w:r>
          </w:p>
        </w:tc>
        <w:tc>
          <w:tcPr>
            <w:tcW w:w="277" w:type="pct"/>
            <w:tcBorders>
              <w:top w:val="nil"/>
              <w:left w:val="nil"/>
              <w:bottom w:val="single" w:color="auto" w:sz="4" w:space="0"/>
              <w:right w:val="single" w:color="auto" w:sz="4" w:space="0"/>
            </w:tcBorders>
            <w:noWrap/>
            <w:vAlign w:val="center"/>
          </w:tcPr>
          <w:p w14:paraId="10EF9C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0.9915</w:t>
            </w:r>
          </w:p>
        </w:tc>
        <w:tc>
          <w:tcPr>
            <w:tcW w:w="415" w:type="pct"/>
            <w:tcBorders>
              <w:top w:val="nil"/>
              <w:left w:val="nil"/>
              <w:bottom w:val="single" w:color="auto" w:sz="4" w:space="0"/>
              <w:right w:val="single" w:color="auto" w:sz="4" w:space="0"/>
            </w:tcBorders>
            <w:noWrap/>
            <w:vAlign w:val="center"/>
          </w:tcPr>
          <w:p w14:paraId="535A03D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3F533AE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0.1852</w:t>
            </w:r>
          </w:p>
        </w:tc>
        <w:tc>
          <w:tcPr>
            <w:tcW w:w="226" w:type="pct"/>
            <w:tcBorders>
              <w:top w:val="nil"/>
              <w:left w:val="nil"/>
              <w:bottom w:val="single" w:color="auto" w:sz="4" w:space="0"/>
              <w:right w:val="single" w:color="auto" w:sz="4" w:space="0"/>
            </w:tcBorders>
            <w:noWrap/>
            <w:vAlign w:val="center"/>
          </w:tcPr>
          <w:p w14:paraId="7706C4C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0.0096</w:t>
            </w:r>
          </w:p>
        </w:tc>
        <w:tc>
          <w:tcPr>
            <w:tcW w:w="277" w:type="pct"/>
            <w:tcBorders>
              <w:top w:val="nil"/>
              <w:left w:val="nil"/>
              <w:bottom w:val="single" w:color="auto" w:sz="4" w:space="0"/>
              <w:right w:val="single" w:color="auto" w:sz="4" w:space="0"/>
            </w:tcBorders>
            <w:noWrap/>
            <w:vAlign w:val="center"/>
          </w:tcPr>
          <w:p w14:paraId="59B79D2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0.3437</w:t>
            </w:r>
          </w:p>
        </w:tc>
        <w:tc>
          <w:tcPr>
            <w:tcW w:w="415" w:type="pct"/>
            <w:tcBorders>
              <w:top w:val="nil"/>
              <w:left w:val="nil"/>
              <w:bottom w:val="single" w:color="auto" w:sz="4" w:space="0"/>
              <w:right w:val="single" w:color="auto" w:sz="4" w:space="0"/>
            </w:tcBorders>
            <w:noWrap/>
            <w:vAlign w:val="center"/>
          </w:tcPr>
          <w:p w14:paraId="74147DB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5127B73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0.9994</w:t>
            </w:r>
          </w:p>
        </w:tc>
        <w:tc>
          <w:tcPr>
            <w:tcW w:w="226" w:type="pct"/>
            <w:tcBorders>
              <w:top w:val="nil"/>
              <w:left w:val="nil"/>
              <w:bottom w:val="single" w:color="auto" w:sz="4" w:space="0"/>
              <w:right w:val="single" w:color="auto" w:sz="4" w:space="0"/>
            </w:tcBorders>
            <w:noWrap/>
            <w:vAlign w:val="center"/>
          </w:tcPr>
          <w:p w14:paraId="7BAB80E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0.9956</w:t>
            </w:r>
          </w:p>
        </w:tc>
        <w:tc>
          <w:tcPr>
            <w:tcW w:w="277" w:type="pct"/>
            <w:tcBorders>
              <w:top w:val="nil"/>
              <w:left w:val="nil"/>
              <w:bottom w:val="single" w:color="auto" w:sz="4" w:space="0"/>
              <w:right w:val="single" w:color="auto" w:sz="4" w:space="0"/>
            </w:tcBorders>
            <w:noWrap/>
            <w:vAlign w:val="center"/>
          </w:tcPr>
          <w:p w14:paraId="7D7C2CC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1FCE9DA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4A367ED4">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2E16A0C0">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3521A1C5">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6647C8F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6AF6D4F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0.9989</w:t>
            </w:r>
          </w:p>
        </w:tc>
        <w:tc>
          <w:tcPr>
            <w:tcW w:w="226" w:type="pct"/>
            <w:tcBorders>
              <w:top w:val="nil"/>
              <w:left w:val="nil"/>
              <w:bottom w:val="single" w:color="auto" w:sz="4" w:space="0"/>
              <w:right w:val="single" w:color="auto" w:sz="4" w:space="0"/>
            </w:tcBorders>
            <w:noWrap/>
            <w:vAlign w:val="center"/>
          </w:tcPr>
          <w:p w14:paraId="1A5440D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2D48A54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0.9559</w:t>
            </w:r>
          </w:p>
        </w:tc>
        <w:tc>
          <w:tcPr>
            <w:tcW w:w="415" w:type="pct"/>
            <w:tcBorders>
              <w:top w:val="nil"/>
              <w:left w:val="nil"/>
              <w:bottom w:val="single" w:color="auto" w:sz="4" w:space="0"/>
              <w:right w:val="single" w:color="auto" w:sz="4" w:space="0"/>
            </w:tcBorders>
            <w:noWrap/>
            <w:vAlign w:val="center"/>
          </w:tcPr>
          <w:p w14:paraId="56F8F2C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2786844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0.1826</w:t>
            </w:r>
          </w:p>
        </w:tc>
        <w:tc>
          <w:tcPr>
            <w:tcW w:w="226" w:type="pct"/>
            <w:tcBorders>
              <w:top w:val="nil"/>
              <w:left w:val="nil"/>
              <w:bottom w:val="single" w:color="auto" w:sz="4" w:space="0"/>
              <w:right w:val="single" w:color="auto" w:sz="4" w:space="0"/>
            </w:tcBorders>
            <w:noWrap/>
            <w:vAlign w:val="center"/>
          </w:tcPr>
          <w:p w14:paraId="6E8E46C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633F159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0.0960</w:t>
            </w:r>
          </w:p>
        </w:tc>
        <w:tc>
          <w:tcPr>
            <w:tcW w:w="415" w:type="pct"/>
            <w:tcBorders>
              <w:top w:val="nil"/>
              <w:left w:val="nil"/>
              <w:bottom w:val="single" w:color="auto" w:sz="4" w:space="0"/>
              <w:right w:val="single" w:color="auto" w:sz="4" w:space="0"/>
            </w:tcBorders>
            <w:noWrap/>
            <w:vAlign w:val="center"/>
          </w:tcPr>
          <w:p w14:paraId="062C2A1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675734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178620A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F9EFD0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0.9129</w:t>
            </w:r>
          </w:p>
        </w:tc>
        <w:tc>
          <w:tcPr>
            <w:tcW w:w="415" w:type="pct"/>
            <w:tcBorders>
              <w:top w:val="nil"/>
              <w:left w:val="nil"/>
              <w:bottom w:val="single" w:color="auto" w:sz="4" w:space="0"/>
              <w:right w:val="single" w:color="auto" w:sz="4" w:space="0"/>
            </w:tcBorders>
            <w:noWrap/>
            <w:vAlign w:val="center"/>
          </w:tcPr>
          <w:p w14:paraId="615D0FD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253B737F">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27AC7A49">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1EDC123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Mailapitiya Canal</w:t>
            </w:r>
          </w:p>
        </w:tc>
        <w:tc>
          <w:tcPr>
            <w:tcW w:w="294" w:type="pct"/>
            <w:tcBorders>
              <w:top w:val="nil"/>
              <w:left w:val="nil"/>
              <w:bottom w:val="single" w:color="auto" w:sz="4" w:space="0"/>
              <w:right w:val="single" w:color="auto" w:sz="4" w:space="0"/>
            </w:tcBorders>
            <w:noWrap/>
            <w:vAlign w:val="center"/>
          </w:tcPr>
          <w:p w14:paraId="7BB4B88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5F18E5D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59375E2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3C24A6B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651D519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30CFD8C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0.2208</w:t>
            </w:r>
          </w:p>
        </w:tc>
        <w:tc>
          <w:tcPr>
            <w:tcW w:w="226" w:type="pct"/>
            <w:tcBorders>
              <w:top w:val="nil"/>
              <w:left w:val="nil"/>
              <w:bottom w:val="single" w:color="auto" w:sz="4" w:space="0"/>
              <w:right w:val="single" w:color="auto" w:sz="4" w:space="0"/>
            </w:tcBorders>
            <w:noWrap/>
            <w:vAlign w:val="center"/>
          </w:tcPr>
          <w:p w14:paraId="30BC631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4631916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0.0721</w:t>
            </w:r>
          </w:p>
        </w:tc>
        <w:tc>
          <w:tcPr>
            <w:tcW w:w="415" w:type="pct"/>
            <w:tcBorders>
              <w:top w:val="nil"/>
              <w:left w:val="nil"/>
              <w:bottom w:val="single" w:color="auto" w:sz="4" w:space="0"/>
              <w:right w:val="single" w:color="auto" w:sz="4" w:space="0"/>
            </w:tcBorders>
            <w:noWrap/>
            <w:vAlign w:val="center"/>
          </w:tcPr>
          <w:p w14:paraId="76A379B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7881AA9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0.9341</w:t>
            </w:r>
          </w:p>
        </w:tc>
        <w:tc>
          <w:tcPr>
            <w:tcW w:w="226" w:type="pct"/>
            <w:tcBorders>
              <w:top w:val="nil"/>
              <w:left w:val="nil"/>
              <w:bottom w:val="single" w:color="auto" w:sz="4" w:space="0"/>
              <w:right w:val="single" w:color="auto" w:sz="4" w:space="0"/>
            </w:tcBorders>
            <w:noWrap/>
            <w:vAlign w:val="center"/>
          </w:tcPr>
          <w:p w14:paraId="217A2A6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6B9E9F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0.9943</w:t>
            </w:r>
          </w:p>
        </w:tc>
        <w:tc>
          <w:tcPr>
            <w:tcW w:w="415" w:type="pct"/>
            <w:tcBorders>
              <w:top w:val="nil"/>
              <w:left w:val="nil"/>
              <w:bottom w:val="single" w:color="auto" w:sz="4" w:space="0"/>
              <w:right w:val="single" w:color="auto" w:sz="4" w:space="0"/>
            </w:tcBorders>
            <w:noWrap/>
            <w:vAlign w:val="center"/>
          </w:tcPr>
          <w:p w14:paraId="0551912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0.9974</w:t>
            </w:r>
          </w:p>
        </w:tc>
      </w:tr>
      <w:tr w14:paraId="59B4FB1D">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74CA842F">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183DEFFE">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1B2CB2E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1CD8E4C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0.9986</w:t>
            </w:r>
          </w:p>
        </w:tc>
        <w:tc>
          <w:tcPr>
            <w:tcW w:w="226" w:type="pct"/>
            <w:tcBorders>
              <w:top w:val="nil"/>
              <w:left w:val="nil"/>
              <w:bottom w:val="single" w:color="auto" w:sz="4" w:space="0"/>
              <w:right w:val="single" w:color="auto" w:sz="4" w:space="0"/>
            </w:tcBorders>
            <w:noWrap/>
            <w:vAlign w:val="center"/>
          </w:tcPr>
          <w:p w14:paraId="47CE30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0.9821</w:t>
            </w:r>
          </w:p>
        </w:tc>
        <w:tc>
          <w:tcPr>
            <w:tcW w:w="277" w:type="pct"/>
            <w:tcBorders>
              <w:top w:val="nil"/>
              <w:left w:val="nil"/>
              <w:bottom w:val="single" w:color="auto" w:sz="4" w:space="0"/>
              <w:right w:val="single" w:color="auto" w:sz="4" w:space="0"/>
            </w:tcBorders>
            <w:noWrap/>
            <w:vAlign w:val="center"/>
          </w:tcPr>
          <w:p w14:paraId="4C27F99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0.9738</w:t>
            </w:r>
          </w:p>
        </w:tc>
        <w:tc>
          <w:tcPr>
            <w:tcW w:w="415" w:type="pct"/>
            <w:tcBorders>
              <w:top w:val="nil"/>
              <w:left w:val="nil"/>
              <w:bottom w:val="single" w:color="auto" w:sz="4" w:space="0"/>
              <w:right w:val="single" w:color="auto" w:sz="4" w:space="0"/>
            </w:tcBorders>
            <w:noWrap/>
            <w:vAlign w:val="center"/>
          </w:tcPr>
          <w:p w14:paraId="349EF43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0.9937</w:t>
            </w:r>
          </w:p>
        </w:tc>
        <w:tc>
          <w:tcPr>
            <w:tcW w:w="358" w:type="pct"/>
            <w:tcBorders>
              <w:top w:val="nil"/>
              <w:left w:val="nil"/>
              <w:bottom w:val="single" w:color="auto" w:sz="4" w:space="0"/>
              <w:right w:val="single" w:color="auto" w:sz="4" w:space="0"/>
            </w:tcBorders>
            <w:noWrap/>
            <w:vAlign w:val="center"/>
          </w:tcPr>
          <w:p w14:paraId="510AC99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0.0962</w:t>
            </w:r>
          </w:p>
        </w:tc>
        <w:tc>
          <w:tcPr>
            <w:tcW w:w="226" w:type="pct"/>
            <w:tcBorders>
              <w:top w:val="nil"/>
              <w:left w:val="nil"/>
              <w:bottom w:val="single" w:color="auto" w:sz="4" w:space="0"/>
              <w:right w:val="single" w:color="auto" w:sz="4" w:space="0"/>
            </w:tcBorders>
            <w:noWrap/>
            <w:vAlign w:val="center"/>
          </w:tcPr>
          <w:p w14:paraId="25E3FB1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0.0191</w:t>
            </w:r>
          </w:p>
        </w:tc>
        <w:tc>
          <w:tcPr>
            <w:tcW w:w="277" w:type="pct"/>
            <w:tcBorders>
              <w:top w:val="nil"/>
              <w:left w:val="nil"/>
              <w:bottom w:val="single" w:color="auto" w:sz="4" w:space="0"/>
              <w:right w:val="single" w:color="auto" w:sz="4" w:space="0"/>
            </w:tcBorders>
            <w:noWrap/>
            <w:vAlign w:val="center"/>
          </w:tcPr>
          <w:p w14:paraId="3623C63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0.0424</w:t>
            </w:r>
          </w:p>
        </w:tc>
        <w:tc>
          <w:tcPr>
            <w:tcW w:w="415" w:type="pct"/>
            <w:tcBorders>
              <w:top w:val="nil"/>
              <w:left w:val="nil"/>
              <w:bottom w:val="single" w:color="auto" w:sz="4" w:space="0"/>
              <w:right w:val="single" w:color="auto" w:sz="4" w:space="0"/>
            </w:tcBorders>
            <w:noWrap/>
            <w:vAlign w:val="center"/>
          </w:tcPr>
          <w:p w14:paraId="1579172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0.0242</w:t>
            </w:r>
          </w:p>
        </w:tc>
        <w:tc>
          <w:tcPr>
            <w:tcW w:w="358" w:type="pct"/>
            <w:tcBorders>
              <w:top w:val="nil"/>
              <w:left w:val="nil"/>
              <w:bottom w:val="single" w:color="auto" w:sz="4" w:space="0"/>
              <w:right w:val="single" w:color="auto" w:sz="4" w:space="0"/>
            </w:tcBorders>
            <w:noWrap/>
            <w:vAlign w:val="center"/>
          </w:tcPr>
          <w:p w14:paraId="617A432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0.9911</w:t>
            </w:r>
          </w:p>
        </w:tc>
        <w:tc>
          <w:tcPr>
            <w:tcW w:w="226" w:type="pct"/>
            <w:tcBorders>
              <w:top w:val="nil"/>
              <w:left w:val="nil"/>
              <w:bottom w:val="single" w:color="auto" w:sz="4" w:space="0"/>
              <w:right w:val="single" w:color="auto" w:sz="4" w:space="0"/>
            </w:tcBorders>
            <w:noWrap/>
            <w:vAlign w:val="center"/>
          </w:tcPr>
          <w:p w14:paraId="2A7019E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0.9526</w:t>
            </w:r>
          </w:p>
        </w:tc>
        <w:tc>
          <w:tcPr>
            <w:tcW w:w="277" w:type="pct"/>
            <w:tcBorders>
              <w:top w:val="nil"/>
              <w:left w:val="nil"/>
              <w:bottom w:val="single" w:color="auto" w:sz="4" w:space="0"/>
              <w:right w:val="single" w:color="auto" w:sz="4" w:space="0"/>
            </w:tcBorders>
            <w:noWrap/>
            <w:vAlign w:val="center"/>
          </w:tcPr>
          <w:p w14:paraId="299E4C6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0.9423</w:t>
            </w:r>
          </w:p>
        </w:tc>
        <w:tc>
          <w:tcPr>
            <w:tcW w:w="415" w:type="pct"/>
            <w:tcBorders>
              <w:top w:val="nil"/>
              <w:left w:val="nil"/>
              <w:bottom w:val="single" w:color="auto" w:sz="4" w:space="0"/>
              <w:right w:val="single" w:color="auto" w:sz="4" w:space="0"/>
            </w:tcBorders>
            <w:noWrap/>
            <w:vAlign w:val="center"/>
          </w:tcPr>
          <w:p w14:paraId="38E58F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0.9979</w:t>
            </w:r>
          </w:p>
        </w:tc>
      </w:tr>
      <w:tr w14:paraId="3F0AED30">
        <w:tblPrEx>
          <w:tblCellMar>
            <w:top w:w="0" w:type="dxa"/>
            <w:left w:w="108" w:type="dxa"/>
            <w:bottom w:w="0" w:type="dxa"/>
            <w:right w:w="108" w:type="dxa"/>
          </w:tblCellMar>
        </w:tblPrEx>
        <w:trPr>
          <w:trHeight w:val="272" w:hRule="atLeast"/>
          <w:jc w:val="center"/>
        </w:trPr>
        <w:tc>
          <w:tcPr>
            <w:tcW w:w="431" w:type="pct"/>
            <w:vMerge w:val="restart"/>
            <w:tcBorders>
              <w:top w:val="nil"/>
              <w:left w:val="single" w:color="auto" w:sz="4" w:space="0"/>
              <w:bottom w:val="single" w:color="auto" w:sz="4" w:space="0"/>
              <w:right w:val="single" w:color="auto" w:sz="4" w:space="0"/>
            </w:tcBorders>
            <w:noWrap/>
            <w:vAlign w:val="center"/>
          </w:tcPr>
          <w:p w14:paraId="0F126D37">
            <w:pPr>
              <w:spacing w:after="0" w:line="240" w:lineRule="auto"/>
              <w:jc w:val="both"/>
              <w:rPr>
                <w:rFonts w:hint="default" w:ascii="Times New Roman" w:hAnsi="Times New Roman" w:eastAsia="宋体" w:cs="Times New Roman"/>
                <w:color w:val="auto"/>
                <w:sz w:val="15"/>
                <w:szCs w:val="15"/>
                <w:highlight w:val="none"/>
                <w:lang w:eastAsia="zh-CN"/>
              </w:rPr>
            </w:pPr>
            <w:r>
              <w:rPr>
                <w:rFonts w:hint="default" w:ascii="Times New Roman" w:hAnsi="Times New Roman" w:eastAsia="宋体" w:cs="Times New Roman"/>
                <w:color w:val="auto"/>
                <w:sz w:val="15"/>
                <w:szCs w:val="15"/>
                <w:highlight w:val="none"/>
                <w:lang w:eastAsia="zh-CN"/>
              </w:rPr>
              <w:t>Hurulu Wewa</w:t>
            </w:r>
          </w:p>
        </w:tc>
        <w:tc>
          <w:tcPr>
            <w:tcW w:w="442" w:type="pct"/>
            <w:vMerge w:val="restart"/>
            <w:tcBorders>
              <w:top w:val="nil"/>
              <w:left w:val="single" w:color="auto" w:sz="4" w:space="0"/>
              <w:bottom w:val="single" w:color="auto" w:sz="4" w:space="0"/>
              <w:right w:val="single" w:color="auto" w:sz="4" w:space="0"/>
            </w:tcBorders>
            <w:noWrap/>
            <w:vAlign w:val="center"/>
          </w:tcPr>
          <w:p w14:paraId="50F49D1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1/D3</w:t>
            </w:r>
          </w:p>
        </w:tc>
        <w:tc>
          <w:tcPr>
            <w:tcW w:w="294" w:type="pct"/>
            <w:tcBorders>
              <w:top w:val="nil"/>
              <w:left w:val="nil"/>
              <w:bottom w:val="single" w:color="auto" w:sz="4" w:space="0"/>
              <w:right w:val="single" w:color="auto" w:sz="4" w:space="0"/>
            </w:tcBorders>
            <w:noWrap/>
            <w:vAlign w:val="center"/>
          </w:tcPr>
          <w:p w14:paraId="533C3BF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48D5A2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0.9206</w:t>
            </w:r>
          </w:p>
        </w:tc>
        <w:tc>
          <w:tcPr>
            <w:tcW w:w="226" w:type="pct"/>
            <w:tcBorders>
              <w:top w:val="nil"/>
              <w:left w:val="nil"/>
              <w:bottom w:val="single" w:color="auto" w:sz="4" w:space="0"/>
              <w:right w:val="single" w:color="auto" w:sz="4" w:space="0"/>
            </w:tcBorders>
            <w:noWrap/>
            <w:vAlign w:val="center"/>
          </w:tcPr>
          <w:p w14:paraId="46C85A6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F3FE6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0.9797</w:t>
            </w:r>
          </w:p>
        </w:tc>
        <w:tc>
          <w:tcPr>
            <w:tcW w:w="415" w:type="pct"/>
            <w:tcBorders>
              <w:top w:val="nil"/>
              <w:left w:val="nil"/>
              <w:bottom w:val="single" w:color="auto" w:sz="4" w:space="0"/>
              <w:right w:val="single" w:color="auto" w:sz="4" w:space="0"/>
            </w:tcBorders>
            <w:noWrap/>
            <w:vAlign w:val="center"/>
          </w:tcPr>
          <w:p w14:paraId="216B230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262B842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0.2449</w:t>
            </w:r>
          </w:p>
        </w:tc>
        <w:tc>
          <w:tcPr>
            <w:tcW w:w="226" w:type="pct"/>
            <w:tcBorders>
              <w:top w:val="nil"/>
              <w:left w:val="nil"/>
              <w:bottom w:val="single" w:color="auto" w:sz="4" w:space="0"/>
              <w:right w:val="single" w:color="auto" w:sz="4" w:space="0"/>
            </w:tcBorders>
            <w:noWrap/>
            <w:vAlign w:val="center"/>
          </w:tcPr>
          <w:p w14:paraId="6E78D5D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277" w:type="pct"/>
            <w:tcBorders>
              <w:top w:val="nil"/>
              <w:left w:val="nil"/>
              <w:bottom w:val="single" w:color="auto" w:sz="4" w:space="0"/>
              <w:right w:val="single" w:color="auto" w:sz="4" w:space="0"/>
            </w:tcBorders>
            <w:noWrap/>
            <w:vAlign w:val="center"/>
          </w:tcPr>
          <w:p w14:paraId="2CB113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0.1557</w:t>
            </w:r>
          </w:p>
        </w:tc>
        <w:tc>
          <w:tcPr>
            <w:tcW w:w="415" w:type="pct"/>
            <w:tcBorders>
              <w:top w:val="nil"/>
              <w:left w:val="nil"/>
              <w:bottom w:val="single" w:color="auto" w:sz="4" w:space="0"/>
              <w:right w:val="single" w:color="auto" w:sz="4" w:space="0"/>
            </w:tcBorders>
            <w:noWrap/>
            <w:vAlign w:val="center"/>
          </w:tcPr>
          <w:p w14:paraId="204C4A2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29C6B65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474E8D4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2B8E12C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0472B15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194903AE">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213A3151">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5082B2F6">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41186C9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610AEC4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0.9556</w:t>
            </w:r>
          </w:p>
        </w:tc>
        <w:tc>
          <w:tcPr>
            <w:tcW w:w="226" w:type="pct"/>
            <w:tcBorders>
              <w:top w:val="nil"/>
              <w:left w:val="nil"/>
              <w:bottom w:val="single" w:color="auto" w:sz="4" w:space="0"/>
              <w:right w:val="single" w:color="auto" w:sz="4" w:space="0"/>
            </w:tcBorders>
            <w:noWrap/>
            <w:vAlign w:val="center"/>
          </w:tcPr>
          <w:p w14:paraId="7B16DFD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3797287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3CF7DE0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0C0E98D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0.1856</w:t>
            </w:r>
          </w:p>
        </w:tc>
        <w:tc>
          <w:tcPr>
            <w:tcW w:w="226" w:type="pct"/>
            <w:tcBorders>
              <w:top w:val="nil"/>
              <w:left w:val="nil"/>
              <w:bottom w:val="single" w:color="auto" w:sz="4" w:space="0"/>
              <w:right w:val="single" w:color="auto" w:sz="4" w:space="0"/>
            </w:tcBorders>
            <w:noWrap/>
            <w:vAlign w:val="center"/>
          </w:tcPr>
          <w:p w14:paraId="270AADE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5FBE2E1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0.0464</w:t>
            </w:r>
          </w:p>
        </w:tc>
        <w:tc>
          <w:tcPr>
            <w:tcW w:w="415" w:type="pct"/>
            <w:tcBorders>
              <w:top w:val="nil"/>
              <w:left w:val="nil"/>
              <w:bottom w:val="single" w:color="auto" w:sz="4" w:space="0"/>
              <w:right w:val="single" w:color="auto" w:sz="4" w:space="0"/>
            </w:tcBorders>
            <w:noWrap/>
            <w:vAlign w:val="center"/>
          </w:tcPr>
          <w:p w14:paraId="1DFA100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1D45ABD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14DD51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98CC7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78C42EE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1FDFBA1E">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211EEC13">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3A5361C8">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2BDAF71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0A4536F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1C5AA23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5C0E9EF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37F5CC1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6BA35E1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0.1753</w:t>
            </w:r>
          </w:p>
        </w:tc>
        <w:tc>
          <w:tcPr>
            <w:tcW w:w="226" w:type="pct"/>
            <w:tcBorders>
              <w:top w:val="nil"/>
              <w:left w:val="nil"/>
              <w:bottom w:val="single" w:color="auto" w:sz="4" w:space="0"/>
              <w:right w:val="single" w:color="auto" w:sz="4" w:space="0"/>
            </w:tcBorders>
            <w:noWrap/>
            <w:vAlign w:val="center"/>
          </w:tcPr>
          <w:p w14:paraId="755D094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0D3A6EF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0.0328</w:t>
            </w:r>
          </w:p>
        </w:tc>
        <w:tc>
          <w:tcPr>
            <w:tcW w:w="415" w:type="pct"/>
            <w:tcBorders>
              <w:top w:val="nil"/>
              <w:left w:val="nil"/>
              <w:bottom w:val="single" w:color="auto" w:sz="4" w:space="0"/>
              <w:right w:val="single" w:color="auto" w:sz="4" w:space="0"/>
            </w:tcBorders>
            <w:noWrap/>
            <w:vAlign w:val="center"/>
          </w:tcPr>
          <w:p w14:paraId="15BFE92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7E60347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4BC9950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F66A7E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7044F10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6D05B598">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64F3CE43">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783CD77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FC4/D3</w:t>
            </w:r>
          </w:p>
        </w:tc>
        <w:tc>
          <w:tcPr>
            <w:tcW w:w="294" w:type="pct"/>
            <w:tcBorders>
              <w:top w:val="nil"/>
              <w:left w:val="nil"/>
              <w:bottom w:val="single" w:color="auto" w:sz="4" w:space="0"/>
              <w:right w:val="single" w:color="auto" w:sz="4" w:space="0"/>
            </w:tcBorders>
            <w:noWrap/>
            <w:vAlign w:val="center"/>
          </w:tcPr>
          <w:p w14:paraId="512335D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4ED46C5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0.9865</w:t>
            </w:r>
          </w:p>
        </w:tc>
        <w:tc>
          <w:tcPr>
            <w:tcW w:w="226" w:type="pct"/>
            <w:tcBorders>
              <w:top w:val="nil"/>
              <w:left w:val="nil"/>
              <w:bottom w:val="single" w:color="auto" w:sz="4" w:space="0"/>
              <w:right w:val="single" w:color="auto" w:sz="4" w:space="0"/>
            </w:tcBorders>
            <w:noWrap/>
            <w:vAlign w:val="center"/>
          </w:tcPr>
          <w:p w14:paraId="464C2DA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0.9992</w:t>
            </w:r>
          </w:p>
        </w:tc>
        <w:tc>
          <w:tcPr>
            <w:tcW w:w="277" w:type="pct"/>
            <w:tcBorders>
              <w:top w:val="nil"/>
              <w:left w:val="nil"/>
              <w:bottom w:val="single" w:color="auto" w:sz="4" w:space="0"/>
              <w:right w:val="single" w:color="auto" w:sz="4" w:space="0"/>
            </w:tcBorders>
            <w:noWrap/>
            <w:vAlign w:val="center"/>
          </w:tcPr>
          <w:p w14:paraId="73802B6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0.9960</w:t>
            </w:r>
          </w:p>
        </w:tc>
        <w:tc>
          <w:tcPr>
            <w:tcW w:w="415" w:type="pct"/>
            <w:tcBorders>
              <w:top w:val="nil"/>
              <w:left w:val="nil"/>
              <w:bottom w:val="single" w:color="auto" w:sz="4" w:space="0"/>
              <w:right w:val="single" w:color="auto" w:sz="4" w:space="0"/>
            </w:tcBorders>
            <w:noWrap/>
            <w:vAlign w:val="center"/>
          </w:tcPr>
          <w:p w14:paraId="170E9A3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263EEAA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0.1858</w:t>
            </w:r>
          </w:p>
        </w:tc>
        <w:tc>
          <w:tcPr>
            <w:tcW w:w="226" w:type="pct"/>
            <w:tcBorders>
              <w:top w:val="nil"/>
              <w:left w:val="nil"/>
              <w:bottom w:val="single" w:color="auto" w:sz="4" w:space="0"/>
              <w:right w:val="single" w:color="auto" w:sz="4" w:space="0"/>
            </w:tcBorders>
            <w:noWrap/>
            <w:vAlign w:val="center"/>
          </w:tcPr>
          <w:p w14:paraId="56BCC4C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0.0055</w:t>
            </w:r>
          </w:p>
        </w:tc>
        <w:tc>
          <w:tcPr>
            <w:tcW w:w="277" w:type="pct"/>
            <w:tcBorders>
              <w:top w:val="nil"/>
              <w:left w:val="nil"/>
              <w:bottom w:val="single" w:color="auto" w:sz="4" w:space="0"/>
              <w:right w:val="single" w:color="auto" w:sz="4" w:space="0"/>
            </w:tcBorders>
            <w:noWrap/>
            <w:vAlign w:val="center"/>
          </w:tcPr>
          <w:p w14:paraId="22D53A3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0.1540</w:t>
            </w:r>
          </w:p>
        </w:tc>
        <w:tc>
          <w:tcPr>
            <w:tcW w:w="415" w:type="pct"/>
            <w:tcBorders>
              <w:top w:val="nil"/>
              <w:left w:val="nil"/>
              <w:bottom w:val="single" w:color="auto" w:sz="4" w:space="0"/>
              <w:right w:val="single" w:color="auto" w:sz="4" w:space="0"/>
            </w:tcBorders>
            <w:noWrap/>
            <w:vAlign w:val="center"/>
          </w:tcPr>
          <w:p w14:paraId="6928285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44A0D7A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0.9996</w:t>
            </w:r>
          </w:p>
        </w:tc>
        <w:tc>
          <w:tcPr>
            <w:tcW w:w="226" w:type="pct"/>
            <w:tcBorders>
              <w:top w:val="nil"/>
              <w:left w:val="nil"/>
              <w:bottom w:val="single" w:color="auto" w:sz="4" w:space="0"/>
              <w:right w:val="single" w:color="auto" w:sz="4" w:space="0"/>
            </w:tcBorders>
            <w:noWrap/>
            <w:vAlign w:val="center"/>
          </w:tcPr>
          <w:p w14:paraId="697D8B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0.9995</w:t>
            </w:r>
          </w:p>
        </w:tc>
        <w:tc>
          <w:tcPr>
            <w:tcW w:w="277" w:type="pct"/>
            <w:tcBorders>
              <w:top w:val="nil"/>
              <w:left w:val="nil"/>
              <w:bottom w:val="single" w:color="auto" w:sz="4" w:space="0"/>
              <w:right w:val="single" w:color="auto" w:sz="4" w:space="0"/>
            </w:tcBorders>
            <w:noWrap/>
            <w:vAlign w:val="center"/>
          </w:tcPr>
          <w:p w14:paraId="10575D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0.9996</w:t>
            </w:r>
          </w:p>
        </w:tc>
        <w:tc>
          <w:tcPr>
            <w:tcW w:w="415" w:type="pct"/>
            <w:tcBorders>
              <w:top w:val="nil"/>
              <w:left w:val="nil"/>
              <w:bottom w:val="single" w:color="auto" w:sz="4" w:space="0"/>
              <w:right w:val="single" w:color="auto" w:sz="4" w:space="0"/>
            </w:tcBorders>
            <w:noWrap/>
            <w:vAlign w:val="center"/>
          </w:tcPr>
          <w:p w14:paraId="02AAC9A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1CDB6066">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0F148A73">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22101C7F">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5F21E8E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32F0218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0.9960</w:t>
            </w:r>
          </w:p>
        </w:tc>
        <w:tc>
          <w:tcPr>
            <w:tcW w:w="226" w:type="pct"/>
            <w:tcBorders>
              <w:top w:val="nil"/>
              <w:left w:val="nil"/>
              <w:bottom w:val="single" w:color="auto" w:sz="4" w:space="0"/>
              <w:right w:val="single" w:color="auto" w:sz="4" w:space="0"/>
            </w:tcBorders>
            <w:noWrap/>
            <w:vAlign w:val="center"/>
          </w:tcPr>
          <w:p w14:paraId="4142584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2941BD1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0.9695</w:t>
            </w:r>
          </w:p>
        </w:tc>
        <w:tc>
          <w:tcPr>
            <w:tcW w:w="415" w:type="pct"/>
            <w:tcBorders>
              <w:top w:val="nil"/>
              <w:left w:val="nil"/>
              <w:bottom w:val="single" w:color="auto" w:sz="4" w:space="0"/>
              <w:right w:val="single" w:color="auto" w:sz="4" w:space="0"/>
            </w:tcBorders>
            <w:noWrap/>
            <w:vAlign w:val="center"/>
          </w:tcPr>
          <w:p w14:paraId="5A00DE2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6E571EC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0.1656</w:t>
            </w:r>
          </w:p>
        </w:tc>
        <w:tc>
          <w:tcPr>
            <w:tcW w:w="226" w:type="pct"/>
            <w:tcBorders>
              <w:top w:val="nil"/>
              <w:left w:val="nil"/>
              <w:bottom w:val="single" w:color="auto" w:sz="4" w:space="0"/>
              <w:right w:val="single" w:color="auto" w:sz="4" w:space="0"/>
            </w:tcBorders>
            <w:noWrap/>
            <w:vAlign w:val="center"/>
          </w:tcPr>
          <w:p w14:paraId="1F43F93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0.0008</w:t>
            </w:r>
          </w:p>
        </w:tc>
        <w:tc>
          <w:tcPr>
            <w:tcW w:w="277" w:type="pct"/>
            <w:tcBorders>
              <w:top w:val="nil"/>
              <w:left w:val="nil"/>
              <w:bottom w:val="single" w:color="auto" w:sz="4" w:space="0"/>
              <w:right w:val="single" w:color="auto" w:sz="4" w:space="0"/>
            </w:tcBorders>
            <w:noWrap/>
            <w:vAlign w:val="center"/>
          </w:tcPr>
          <w:p w14:paraId="0DBC1C2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0.1349</w:t>
            </w:r>
          </w:p>
        </w:tc>
        <w:tc>
          <w:tcPr>
            <w:tcW w:w="415" w:type="pct"/>
            <w:tcBorders>
              <w:top w:val="nil"/>
              <w:left w:val="nil"/>
              <w:bottom w:val="single" w:color="auto" w:sz="4" w:space="0"/>
              <w:right w:val="single" w:color="auto" w:sz="4" w:space="0"/>
            </w:tcBorders>
            <w:noWrap/>
            <w:vAlign w:val="center"/>
          </w:tcPr>
          <w:p w14:paraId="048FE87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1FD60C3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719EDAB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763A792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3C47783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417CB007">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270DE60C">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5B3F2EA7">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21EDA3C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34B0940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0.9876</w:t>
            </w:r>
          </w:p>
        </w:tc>
        <w:tc>
          <w:tcPr>
            <w:tcW w:w="226" w:type="pct"/>
            <w:tcBorders>
              <w:top w:val="nil"/>
              <w:left w:val="nil"/>
              <w:bottom w:val="single" w:color="auto" w:sz="4" w:space="0"/>
              <w:right w:val="single" w:color="auto" w:sz="4" w:space="0"/>
            </w:tcBorders>
            <w:noWrap/>
            <w:vAlign w:val="center"/>
          </w:tcPr>
          <w:p w14:paraId="752AE99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A50300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0.9835</w:t>
            </w:r>
          </w:p>
        </w:tc>
        <w:tc>
          <w:tcPr>
            <w:tcW w:w="415" w:type="pct"/>
            <w:tcBorders>
              <w:top w:val="nil"/>
              <w:left w:val="nil"/>
              <w:bottom w:val="single" w:color="auto" w:sz="4" w:space="0"/>
              <w:right w:val="single" w:color="auto" w:sz="4" w:space="0"/>
            </w:tcBorders>
            <w:noWrap/>
            <w:vAlign w:val="center"/>
          </w:tcPr>
          <w:p w14:paraId="414F653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1DEAE5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0.2269</w:t>
            </w:r>
          </w:p>
        </w:tc>
        <w:tc>
          <w:tcPr>
            <w:tcW w:w="226" w:type="pct"/>
            <w:tcBorders>
              <w:top w:val="nil"/>
              <w:left w:val="nil"/>
              <w:bottom w:val="single" w:color="auto" w:sz="4" w:space="0"/>
              <w:right w:val="single" w:color="auto" w:sz="4" w:space="0"/>
            </w:tcBorders>
            <w:noWrap/>
            <w:vAlign w:val="center"/>
          </w:tcPr>
          <w:p w14:paraId="5779A02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700283A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0.1338</w:t>
            </w:r>
          </w:p>
        </w:tc>
        <w:tc>
          <w:tcPr>
            <w:tcW w:w="415" w:type="pct"/>
            <w:tcBorders>
              <w:top w:val="nil"/>
              <w:left w:val="nil"/>
              <w:bottom w:val="single" w:color="auto" w:sz="4" w:space="0"/>
              <w:right w:val="single" w:color="auto" w:sz="4" w:space="0"/>
            </w:tcBorders>
            <w:noWrap/>
            <w:vAlign w:val="center"/>
          </w:tcPr>
          <w:p w14:paraId="2B81D5C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0.0006</w:t>
            </w:r>
          </w:p>
        </w:tc>
        <w:tc>
          <w:tcPr>
            <w:tcW w:w="358" w:type="pct"/>
            <w:tcBorders>
              <w:top w:val="nil"/>
              <w:left w:val="nil"/>
              <w:bottom w:val="single" w:color="auto" w:sz="4" w:space="0"/>
              <w:right w:val="single" w:color="auto" w:sz="4" w:space="0"/>
            </w:tcBorders>
            <w:noWrap/>
            <w:vAlign w:val="center"/>
          </w:tcPr>
          <w:p w14:paraId="2EF2A54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2DBB964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1080AA1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330AD43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569140C8">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6779D927">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488C9A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FC7/D3</w:t>
            </w:r>
          </w:p>
        </w:tc>
        <w:tc>
          <w:tcPr>
            <w:tcW w:w="294" w:type="pct"/>
            <w:tcBorders>
              <w:top w:val="nil"/>
              <w:left w:val="nil"/>
              <w:bottom w:val="single" w:color="auto" w:sz="4" w:space="0"/>
              <w:right w:val="single" w:color="auto" w:sz="4" w:space="0"/>
            </w:tcBorders>
            <w:noWrap/>
            <w:vAlign w:val="center"/>
          </w:tcPr>
          <w:p w14:paraId="550F87C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4FD8930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428CE35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31FB114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07D25D8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2C5AFF9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0.1685</w:t>
            </w:r>
          </w:p>
        </w:tc>
        <w:tc>
          <w:tcPr>
            <w:tcW w:w="226" w:type="pct"/>
            <w:tcBorders>
              <w:top w:val="nil"/>
              <w:left w:val="nil"/>
              <w:bottom w:val="single" w:color="auto" w:sz="4" w:space="0"/>
              <w:right w:val="single" w:color="auto" w:sz="4" w:space="0"/>
            </w:tcBorders>
            <w:noWrap/>
            <w:vAlign w:val="center"/>
          </w:tcPr>
          <w:p w14:paraId="3A0C7E9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0.0025</w:t>
            </w:r>
          </w:p>
        </w:tc>
        <w:tc>
          <w:tcPr>
            <w:tcW w:w="277" w:type="pct"/>
            <w:tcBorders>
              <w:top w:val="nil"/>
              <w:left w:val="nil"/>
              <w:bottom w:val="single" w:color="auto" w:sz="4" w:space="0"/>
              <w:right w:val="single" w:color="auto" w:sz="4" w:space="0"/>
            </w:tcBorders>
            <w:noWrap/>
            <w:vAlign w:val="center"/>
          </w:tcPr>
          <w:p w14:paraId="0C60C01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0.1115</w:t>
            </w:r>
          </w:p>
        </w:tc>
        <w:tc>
          <w:tcPr>
            <w:tcW w:w="415" w:type="pct"/>
            <w:tcBorders>
              <w:top w:val="nil"/>
              <w:left w:val="nil"/>
              <w:bottom w:val="single" w:color="auto" w:sz="4" w:space="0"/>
              <w:right w:val="single" w:color="auto" w:sz="4" w:space="0"/>
            </w:tcBorders>
            <w:noWrap/>
            <w:vAlign w:val="center"/>
          </w:tcPr>
          <w:p w14:paraId="76B71C4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69C3F64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0.9988</w:t>
            </w:r>
          </w:p>
        </w:tc>
        <w:tc>
          <w:tcPr>
            <w:tcW w:w="226" w:type="pct"/>
            <w:tcBorders>
              <w:top w:val="nil"/>
              <w:left w:val="nil"/>
              <w:bottom w:val="single" w:color="auto" w:sz="4" w:space="0"/>
              <w:right w:val="single" w:color="auto" w:sz="4" w:space="0"/>
            </w:tcBorders>
            <w:noWrap/>
            <w:vAlign w:val="center"/>
          </w:tcPr>
          <w:p w14:paraId="1DCAF33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0.9970</w:t>
            </w:r>
          </w:p>
        </w:tc>
        <w:tc>
          <w:tcPr>
            <w:tcW w:w="277" w:type="pct"/>
            <w:tcBorders>
              <w:top w:val="nil"/>
              <w:left w:val="nil"/>
              <w:bottom w:val="single" w:color="auto" w:sz="4" w:space="0"/>
              <w:right w:val="single" w:color="auto" w:sz="4" w:space="0"/>
            </w:tcBorders>
            <w:noWrap/>
            <w:vAlign w:val="center"/>
          </w:tcPr>
          <w:p w14:paraId="0DE0F8B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0.9988</w:t>
            </w:r>
          </w:p>
        </w:tc>
        <w:tc>
          <w:tcPr>
            <w:tcW w:w="415" w:type="pct"/>
            <w:tcBorders>
              <w:top w:val="nil"/>
              <w:left w:val="nil"/>
              <w:bottom w:val="single" w:color="auto" w:sz="4" w:space="0"/>
              <w:right w:val="single" w:color="auto" w:sz="4" w:space="0"/>
            </w:tcBorders>
            <w:noWrap/>
            <w:vAlign w:val="center"/>
          </w:tcPr>
          <w:p w14:paraId="0AB1803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07DAF08E">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1D6F2155">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4B5E8A34">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04E8BBF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6F7ED8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0.9684</w:t>
            </w:r>
          </w:p>
        </w:tc>
        <w:tc>
          <w:tcPr>
            <w:tcW w:w="226" w:type="pct"/>
            <w:tcBorders>
              <w:top w:val="nil"/>
              <w:left w:val="nil"/>
              <w:bottom w:val="single" w:color="auto" w:sz="4" w:space="0"/>
              <w:right w:val="single" w:color="auto" w:sz="4" w:space="0"/>
            </w:tcBorders>
            <w:noWrap/>
            <w:vAlign w:val="center"/>
          </w:tcPr>
          <w:p w14:paraId="703A147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0.9997</w:t>
            </w:r>
          </w:p>
        </w:tc>
        <w:tc>
          <w:tcPr>
            <w:tcW w:w="277" w:type="pct"/>
            <w:tcBorders>
              <w:top w:val="nil"/>
              <w:left w:val="nil"/>
              <w:bottom w:val="single" w:color="auto" w:sz="4" w:space="0"/>
              <w:right w:val="single" w:color="auto" w:sz="4" w:space="0"/>
            </w:tcBorders>
            <w:noWrap/>
            <w:vAlign w:val="center"/>
          </w:tcPr>
          <w:p w14:paraId="7F2F182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0.9369</w:t>
            </w:r>
          </w:p>
        </w:tc>
        <w:tc>
          <w:tcPr>
            <w:tcW w:w="415" w:type="pct"/>
            <w:tcBorders>
              <w:top w:val="nil"/>
              <w:left w:val="nil"/>
              <w:bottom w:val="single" w:color="auto" w:sz="4" w:space="0"/>
              <w:right w:val="single" w:color="auto" w:sz="4" w:space="0"/>
            </w:tcBorders>
            <w:noWrap/>
            <w:vAlign w:val="center"/>
          </w:tcPr>
          <w:p w14:paraId="4CBD852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1DAAEB7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0.2052</w:t>
            </w:r>
          </w:p>
        </w:tc>
        <w:tc>
          <w:tcPr>
            <w:tcW w:w="226" w:type="pct"/>
            <w:tcBorders>
              <w:top w:val="nil"/>
              <w:left w:val="nil"/>
              <w:bottom w:val="single" w:color="auto" w:sz="4" w:space="0"/>
              <w:right w:val="single" w:color="auto" w:sz="4" w:space="0"/>
            </w:tcBorders>
            <w:noWrap/>
            <w:vAlign w:val="center"/>
          </w:tcPr>
          <w:p w14:paraId="4116E43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0.0023</w:t>
            </w:r>
          </w:p>
        </w:tc>
        <w:tc>
          <w:tcPr>
            <w:tcW w:w="277" w:type="pct"/>
            <w:tcBorders>
              <w:top w:val="nil"/>
              <w:left w:val="nil"/>
              <w:bottom w:val="single" w:color="auto" w:sz="4" w:space="0"/>
              <w:right w:val="single" w:color="auto" w:sz="4" w:space="0"/>
            </w:tcBorders>
            <w:noWrap/>
            <w:vAlign w:val="center"/>
          </w:tcPr>
          <w:p w14:paraId="263E7C4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0.1550</w:t>
            </w:r>
          </w:p>
        </w:tc>
        <w:tc>
          <w:tcPr>
            <w:tcW w:w="415" w:type="pct"/>
            <w:tcBorders>
              <w:top w:val="nil"/>
              <w:left w:val="nil"/>
              <w:bottom w:val="single" w:color="auto" w:sz="4" w:space="0"/>
              <w:right w:val="single" w:color="auto" w:sz="4" w:space="0"/>
            </w:tcBorders>
            <w:noWrap/>
            <w:vAlign w:val="center"/>
          </w:tcPr>
          <w:p w14:paraId="4632AF9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21883BF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0.9989</w:t>
            </w:r>
          </w:p>
        </w:tc>
        <w:tc>
          <w:tcPr>
            <w:tcW w:w="226" w:type="pct"/>
            <w:tcBorders>
              <w:top w:val="nil"/>
              <w:left w:val="nil"/>
              <w:bottom w:val="single" w:color="auto" w:sz="4" w:space="0"/>
              <w:right w:val="single" w:color="auto" w:sz="4" w:space="0"/>
            </w:tcBorders>
            <w:noWrap/>
            <w:vAlign w:val="center"/>
          </w:tcPr>
          <w:p w14:paraId="0270EDA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0.9961</w:t>
            </w:r>
          </w:p>
        </w:tc>
        <w:tc>
          <w:tcPr>
            <w:tcW w:w="277" w:type="pct"/>
            <w:tcBorders>
              <w:top w:val="nil"/>
              <w:left w:val="nil"/>
              <w:bottom w:val="single" w:color="auto" w:sz="4" w:space="0"/>
              <w:right w:val="single" w:color="auto" w:sz="4" w:space="0"/>
            </w:tcBorders>
            <w:noWrap/>
            <w:vAlign w:val="center"/>
          </w:tcPr>
          <w:p w14:paraId="4159529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0.9989</w:t>
            </w:r>
          </w:p>
        </w:tc>
        <w:tc>
          <w:tcPr>
            <w:tcW w:w="415" w:type="pct"/>
            <w:tcBorders>
              <w:top w:val="nil"/>
              <w:left w:val="nil"/>
              <w:bottom w:val="single" w:color="auto" w:sz="4" w:space="0"/>
              <w:right w:val="single" w:color="auto" w:sz="4" w:space="0"/>
            </w:tcBorders>
            <w:noWrap/>
            <w:vAlign w:val="center"/>
          </w:tcPr>
          <w:p w14:paraId="1AC1620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4DF8D9CD">
        <w:tblPrEx>
          <w:tblCellMar>
            <w:top w:w="0" w:type="dxa"/>
            <w:left w:w="108" w:type="dxa"/>
            <w:bottom w:w="0" w:type="dxa"/>
            <w:right w:w="108" w:type="dxa"/>
          </w:tblCellMar>
        </w:tblPrEx>
        <w:trPr>
          <w:trHeight w:val="272" w:hRule="atLeast"/>
          <w:jc w:val="center"/>
        </w:trPr>
        <w:tc>
          <w:tcPr>
            <w:tcW w:w="431" w:type="pct"/>
            <w:vMerge w:val="restart"/>
            <w:tcBorders>
              <w:top w:val="nil"/>
              <w:left w:val="single" w:color="auto" w:sz="4" w:space="0"/>
              <w:bottom w:val="single" w:color="auto" w:sz="4" w:space="0"/>
              <w:right w:val="single" w:color="auto" w:sz="4" w:space="0"/>
            </w:tcBorders>
            <w:noWrap/>
            <w:vAlign w:val="center"/>
          </w:tcPr>
          <w:p w14:paraId="754B1FA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Maduru Oya PDA</w:t>
            </w:r>
          </w:p>
        </w:tc>
        <w:tc>
          <w:tcPr>
            <w:tcW w:w="442" w:type="pct"/>
            <w:vMerge w:val="restart"/>
            <w:tcBorders>
              <w:top w:val="nil"/>
              <w:left w:val="single" w:color="auto" w:sz="4" w:space="0"/>
              <w:bottom w:val="single" w:color="auto" w:sz="4" w:space="0"/>
              <w:right w:val="single" w:color="auto" w:sz="4" w:space="0"/>
            </w:tcBorders>
            <w:noWrap/>
            <w:vAlign w:val="center"/>
          </w:tcPr>
          <w:p w14:paraId="5E0AEA2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67/D6/104</w:t>
            </w:r>
          </w:p>
        </w:tc>
        <w:tc>
          <w:tcPr>
            <w:tcW w:w="294" w:type="pct"/>
            <w:tcBorders>
              <w:top w:val="nil"/>
              <w:left w:val="nil"/>
              <w:bottom w:val="single" w:color="auto" w:sz="4" w:space="0"/>
              <w:right w:val="single" w:color="auto" w:sz="4" w:space="0"/>
            </w:tcBorders>
            <w:noWrap/>
            <w:vAlign w:val="center"/>
          </w:tcPr>
          <w:p w14:paraId="63C54D3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232FB3D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0.9766</w:t>
            </w:r>
          </w:p>
        </w:tc>
        <w:tc>
          <w:tcPr>
            <w:tcW w:w="226" w:type="pct"/>
            <w:tcBorders>
              <w:top w:val="nil"/>
              <w:left w:val="nil"/>
              <w:bottom w:val="single" w:color="auto" w:sz="4" w:space="0"/>
              <w:right w:val="single" w:color="auto" w:sz="4" w:space="0"/>
            </w:tcBorders>
            <w:noWrap/>
            <w:vAlign w:val="center"/>
          </w:tcPr>
          <w:p w14:paraId="7812DA7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653797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0.9701</w:t>
            </w:r>
          </w:p>
        </w:tc>
        <w:tc>
          <w:tcPr>
            <w:tcW w:w="415" w:type="pct"/>
            <w:tcBorders>
              <w:top w:val="nil"/>
              <w:left w:val="nil"/>
              <w:bottom w:val="single" w:color="auto" w:sz="4" w:space="0"/>
              <w:right w:val="single" w:color="auto" w:sz="4" w:space="0"/>
            </w:tcBorders>
            <w:noWrap/>
            <w:vAlign w:val="center"/>
          </w:tcPr>
          <w:p w14:paraId="4B66D41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42E27F3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0.0970</w:t>
            </w:r>
          </w:p>
        </w:tc>
        <w:tc>
          <w:tcPr>
            <w:tcW w:w="226" w:type="pct"/>
            <w:tcBorders>
              <w:top w:val="nil"/>
              <w:left w:val="nil"/>
              <w:bottom w:val="single" w:color="auto" w:sz="4" w:space="0"/>
              <w:right w:val="single" w:color="auto" w:sz="4" w:space="0"/>
            </w:tcBorders>
            <w:noWrap/>
            <w:vAlign w:val="center"/>
          </w:tcPr>
          <w:p w14:paraId="0637688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16B1CD1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0.2751</w:t>
            </w:r>
          </w:p>
        </w:tc>
        <w:tc>
          <w:tcPr>
            <w:tcW w:w="415" w:type="pct"/>
            <w:tcBorders>
              <w:top w:val="nil"/>
              <w:left w:val="nil"/>
              <w:bottom w:val="single" w:color="auto" w:sz="4" w:space="0"/>
              <w:right w:val="single" w:color="auto" w:sz="4" w:space="0"/>
            </w:tcBorders>
            <w:noWrap/>
            <w:vAlign w:val="center"/>
          </w:tcPr>
          <w:p w14:paraId="3E15171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4A228D6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2A97013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7E170E5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558E44F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0B0459F8">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5EC8630A">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488C611B">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4C7626E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6BBFE49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3BB1E2F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325D748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0.9801</w:t>
            </w:r>
          </w:p>
        </w:tc>
        <w:tc>
          <w:tcPr>
            <w:tcW w:w="415" w:type="pct"/>
            <w:tcBorders>
              <w:top w:val="nil"/>
              <w:left w:val="nil"/>
              <w:bottom w:val="single" w:color="auto" w:sz="4" w:space="0"/>
              <w:right w:val="single" w:color="auto" w:sz="4" w:space="0"/>
            </w:tcBorders>
            <w:noWrap/>
            <w:vAlign w:val="center"/>
          </w:tcPr>
          <w:p w14:paraId="464D15F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1651AA2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0.0420</w:t>
            </w:r>
          </w:p>
        </w:tc>
        <w:tc>
          <w:tcPr>
            <w:tcW w:w="226" w:type="pct"/>
            <w:tcBorders>
              <w:top w:val="nil"/>
              <w:left w:val="nil"/>
              <w:bottom w:val="single" w:color="auto" w:sz="4" w:space="0"/>
              <w:right w:val="single" w:color="auto" w:sz="4" w:space="0"/>
            </w:tcBorders>
            <w:noWrap/>
            <w:vAlign w:val="center"/>
          </w:tcPr>
          <w:p w14:paraId="55F8B3A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41116E6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0.1637</w:t>
            </w:r>
          </w:p>
        </w:tc>
        <w:tc>
          <w:tcPr>
            <w:tcW w:w="415" w:type="pct"/>
            <w:tcBorders>
              <w:top w:val="nil"/>
              <w:left w:val="nil"/>
              <w:bottom w:val="single" w:color="auto" w:sz="4" w:space="0"/>
              <w:right w:val="single" w:color="auto" w:sz="4" w:space="0"/>
            </w:tcBorders>
            <w:noWrap/>
            <w:vAlign w:val="center"/>
          </w:tcPr>
          <w:p w14:paraId="54C44F1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0A1BD72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69193E1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870EE0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6F682FF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76EC0138">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40FC26BB">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2466B125">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12A6B0C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1FD8C86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0.9972</w:t>
            </w:r>
          </w:p>
        </w:tc>
        <w:tc>
          <w:tcPr>
            <w:tcW w:w="226" w:type="pct"/>
            <w:tcBorders>
              <w:top w:val="nil"/>
              <w:left w:val="nil"/>
              <w:bottom w:val="single" w:color="auto" w:sz="4" w:space="0"/>
              <w:right w:val="single" w:color="auto" w:sz="4" w:space="0"/>
            </w:tcBorders>
            <w:noWrap/>
            <w:vAlign w:val="center"/>
          </w:tcPr>
          <w:p w14:paraId="5A8D699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7E18B2F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0.9497</w:t>
            </w:r>
          </w:p>
        </w:tc>
        <w:tc>
          <w:tcPr>
            <w:tcW w:w="415" w:type="pct"/>
            <w:tcBorders>
              <w:top w:val="nil"/>
              <w:left w:val="nil"/>
              <w:bottom w:val="single" w:color="auto" w:sz="4" w:space="0"/>
              <w:right w:val="single" w:color="auto" w:sz="4" w:space="0"/>
            </w:tcBorders>
            <w:noWrap/>
            <w:vAlign w:val="center"/>
          </w:tcPr>
          <w:p w14:paraId="149600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598EA79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0.0792</w:t>
            </w:r>
          </w:p>
        </w:tc>
        <w:tc>
          <w:tcPr>
            <w:tcW w:w="226" w:type="pct"/>
            <w:tcBorders>
              <w:top w:val="nil"/>
              <w:left w:val="nil"/>
              <w:bottom w:val="single" w:color="auto" w:sz="4" w:space="0"/>
              <w:right w:val="single" w:color="auto" w:sz="4" w:space="0"/>
            </w:tcBorders>
            <w:noWrap/>
            <w:vAlign w:val="center"/>
          </w:tcPr>
          <w:p w14:paraId="50C0CE0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0.0014</w:t>
            </w:r>
          </w:p>
        </w:tc>
        <w:tc>
          <w:tcPr>
            <w:tcW w:w="277" w:type="pct"/>
            <w:tcBorders>
              <w:top w:val="nil"/>
              <w:left w:val="nil"/>
              <w:bottom w:val="single" w:color="auto" w:sz="4" w:space="0"/>
              <w:right w:val="single" w:color="auto" w:sz="4" w:space="0"/>
            </w:tcBorders>
            <w:noWrap/>
            <w:vAlign w:val="center"/>
          </w:tcPr>
          <w:p w14:paraId="0FADECB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0.2102</w:t>
            </w:r>
          </w:p>
        </w:tc>
        <w:tc>
          <w:tcPr>
            <w:tcW w:w="415" w:type="pct"/>
            <w:tcBorders>
              <w:top w:val="nil"/>
              <w:left w:val="nil"/>
              <w:bottom w:val="single" w:color="auto" w:sz="4" w:space="0"/>
              <w:right w:val="single" w:color="auto" w:sz="4" w:space="0"/>
            </w:tcBorders>
            <w:noWrap/>
            <w:vAlign w:val="center"/>
          </w:tcPr>
          <w:p w14:paraId="1E5FFFF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63EAFFB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4960112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57ED59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6DD3F1B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40B86CEC">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56F7AD2A">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76BB0CC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 70/D6/104</w:t>
            </w:r>
          </w:p>
        </w:tc>
        <w:tc>
          <w:tcPr>
            <w:tcW w:w="294" w:type="pct"/>
            <w:tcBorders>
              <w:top w:val="nil"/>
              <w:left w:val="nil"/>
              <w:bottom w:val="single" w:color="auto" w:sz="4" w:space="0"/>
              <w:right w:val="single" w:color="auto" w:sz="4" w:space="0"/>
            </w:tcBorders>
            <w:noWrap/>
            <w:vAlign w:val="center"/>
          </w:tcPr>
          <w:p w14:paraId="00E63D6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1BCE963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0.9809</w:t>
            </w:r>
          </w:p>
        </w:tc>
        <w:tc>
          <w:tcPr>
            <w:tcW w:w="226" w:type="pct"/>
            <w:tcBorders>
              <w:top w:val="nil"/>
              <w:left w:val="nil"/>
              <w:bottom w:val="single" w:color="auto" w:sz="4" w:space="0"/>
              <w:right w:val="single" w:color="auto" w:sz="4" w:space="0"/>
            </w:tcBorders>
            <w:noWrap/>
            <w:vAlign w:val="center"/>
          </w:tcPr>
          <w:p w14:paraId="5F65E19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28B93B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0.9914</w:t>
            </w:r>
          </w:p>
        </w:tc>
        <w:tc>
          <w:tcPr>
            <w:tcW w:w="415" w:type="pct"/>
            <w:tcBorders>
              <w:top w:val="nil"/>
              <w:left w:val="nil"/>
              <w:bottom w:val="single" w:color="auto" w:sz="4" w:space="0"/>
              <w:right w:val="single" w:color="auto" w:sz="4" w:space="0"/>
            </w:tcBorders>
            <w:noWrap/>
            <w:vAlign w:val="center"/>
          </w:tcPr>
          <w:p w14:paraId="1FAEA46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09E5E3D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0.1585</w:t>
            </w:r>
          </w:p>
        </w:tc>
        <w:tc>
          <w:tcPr>
            <w:tcW w:w="226" w:type="pct"/>
            <w:tcBorders>
              <w:top w:val="nil"/>
              <w:left w:val="nil"/>
              <w:bottom w:val="single" w:color="auto" w:sz="4" w:space="0"/>
              <w:right w:val="single" w:color="auto" w:sz="4" w:space="0"/>
            </w:tcBorders>
            <w:noWrap/>
            <w:vAlign w:val="center"/>
          </w:tcPr>
          <w:p w14:paraId="5362F34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0.0049</w:t>
            </w:r>
          </w:p>
        </w:tc>
        <w:tc>
          <w:tcPr>
            <w:tcW w:w="277" w:type="pct"/>
            <w:tcBorders>
              <w:top w:val="nil"/>
              <w:left w:val="nil"/>
              <w:bottom w:val="single" w:color="auto" w:sz="4" w:space="0"/>
              <w:right w:val="single" w:color="auto" w:sz="4" w:space="0"/>
            </w:tcBorders>
            <w:noWrap/>
            <w:vAlign w:val="center"/>
          </w:tcPr>
          <w:p w14:paraId="161B661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0.3374</w:t>
            </w:r>
          </w:p>
        </w:tc>
        <w:tc>
          <w:tcPr>
            <w:tcW w:w="415" w:type="pct"/>
            <w:tcBorders>
              <w:top w:val="nil"/>
              <w:left w:val="nil"/>
              <w:bottom w:val="single" w:color="auto" w:sz="4" w:space="0"/>
              <w:right w:val="single" w:color="auto" w:sz="4" w:space="0"/>
            </w:tcBorders>
            <w:noWrap/>
            <w:vAlign w:val="center"/>
          </w:tcPr>
          <w:p w14:paraId="3427AFB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718D880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5DA942D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4177516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0.9091</w:t>
            </w:r>
          </w:p>
        </w:tc>
        <w:tc>
          <w:tcPr>
            <w:tcW w:w="415" w:type="pct"/>
            <w:tcBorders>
              <w:top w:val="nil"/>
              <w:left w:val="nil"/>
              <w:bottom w:val="single" w:color="auto" w:sz="4" w:space="0"/>
              <w:right w:val="single" w:color="auto" w:sz="4" w:space="0"/>
            </w:tcBorders>
            <w:noWrap/>
            <w:vAlign w:val="center"/>
          </w:tcPr>
          <w:p w14:paraId="197BE2C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2529A9C0">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7E377824">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3108F830">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40260DB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0EE851B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0.9968</w:t>
            </w:r>
          </w:p>
        </w:tc>
        <w:tc>
          <w:tcPr>
            <w:tcW w:w="226" w:type="pct"/>
            <w:tcBorders>
              <w:top w:val="nil"/>
              <w:left w:val="nil"/>
              <w:bottom w:val="single" w:color="auto" w:sz="4" w:space="0"/>
              <w:right w:val="single" w:color="auto" w:sz="4" w:space="0"/>
            </w:tcBorders>
            <w:noWrap/>
            <w:vAlign w:val="center"/>
          </w:tcPr>
          <w:p w14:paraId="01938A1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1426299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0.9679</w:t>
            </w:r>
          </w:p>
        </w:tc>
        <w:tc>
          <w:tcPr>
            <w:tcW w:w="415" w:type="pct"/>
            <w:tcBorders>
              <w:top w:val="nil"/>
              <w:left w:val="nil"/>
              <w:bottom w:val="single" w:color="auto" w:sz="4" w:space="0"/>
              <w:right w:val="single" w:color="auto" w:sz="4" w:space="0"/>
            </w:tcBorders>
            <w:noWrap/>
            <w:vAlign w:val="center"/>
          </w:tcPr>
          <w:p w14:paraId="1716626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50C9882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0.1292</w:t>
            </w:r>
          </w:p>
        </w:tc>
        <w:tc>
          <w:tcPr>
            <w:tcW w:w="226" w:type="pct"/>
            <w:tcBorders>
              <w:top w:val="nil"/>
              <w:left w:val="nil"/>
              <w:bottom w:val="single" w:color="auto" w:sz="4" w:space="0"/>
              <w:right w:val="single" w:color="auto" w:sz="4" w:space="0"/>
            </w:tcBorders>
            <w:noWrap/>
            <w:vAlign w:val="center"/>
          </w:tcPr>
          <w:p w14:paraId="5E7A39D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0.0019</w:t>
            </w:r>
          </w:p>
        </w:tc>
        <w:tc>
          <w:tcPr>
            <w:tcW w:w="277" w:type="pct"/>
            <w:tcBorders>
              <w:top w:val="nil"/>
              <w:left w:val="nil"/>
              <w:bottom w:val="single" w:color="auto" w:sz="4" w:space="0"/>
              <w:right w:val="single" w:color="auto" w:sz="4" w:space="0"/>
            </w:tcBorders>
            <w:noWrap/>
            <w:vAlign w:val="center"/>
          </w:tcPr>
          <w:p w14:paraId="1209EFA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0.0973</w:t>
            </w:r>
          </w:p>
        </w:tc>
        <w:tc>
          <w:tcPr>
            <w:tcW w:w="415" w:type="pct"/>
            <w:tcBorders>
              <w:top w:val="nil"/>
              <w:left w:val="nil"/>
              <w:bottom w:val="single" w:color="auto" w:sz="4" w:space="0"/>
              <w:right w:val="single" w:color="auto" w:sz="4" w:space="0"/>
            </w:tcBorders>
            <w:noWrap/>
            <w:vAlign w:val="center"/>
          </w:tcPr>
          <w:p w14:paraId="223ADD5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358" w:type="pct"/>
            <w:tcBorders>
              <w:top w:val="nil"/>
              <w:left w:val="nil"/>
              <w:bottom w:val="single" w:color="auto" w:sz="4" w:space="0"/>
              <w:right w:val="single" w:color="auto" w:sz="4" w:space="0"/>
            </w:tcBorders>
            <w:noWrap/>
            <w:vAlign w:val="center"/>
          </w:tcPr>
          <w:p w14:paraId="474B05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241F4C6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5FC3E9A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0.9619</w:t>
            </w:r>
          </w:p>
        </w:tc>
        <w:tc>
          <w:tcPr>
            <w:tcW w:w="415" w:type="pct"/>
            <w:tcBorders>
              <w:top w:val="nil"/>
              <w:left w:val="nil"/>
              <w:bottom w:val="single" w:color="auto" w:sz="4" w:space="0"/>
              <w:right w:val="single" w:color="auto" w:sz="4" w:space="0"/>
            </w:tcBorders>
            <w:noWrap/>
            <w:vAlign w:val="center"/>
          </w:tcPr>
          <w:p w14:paraId="79E6C53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5E2BC716">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4A61F681">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2B3A7ED8">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7E20DEF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4E17646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7274A59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0001F66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66560E1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0E67E8F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0.1230</w:t>
            </w:r>
          </w:p>
        </w:tc>
        <w:tc>
          <w:tcPr>
            <w:tcW w:w="226" w:type="pct"/>
            <w:tcBorders>
              <w:top w:val="nil"/>
              <w:left w:val="nil"/>
              <w:bottom w:val="single" w:color="auto" w:sz="4" w:space="0"/>
              <w:right w:val="single" w:color="auto" w:sz="4" w:space="0"/>
            </w:tcBorders>
            <w:noWrap/>
            <w:vAlign w:val="center"/>
          </w:tcPr>
          <w:p w14:paraId="43622F0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0.0015</w:t>
            </w:r>
          </w:p>
        </w:tc>
        <w:tc>
          <w:tcPr>
            <w:tcW w:w="277" w:type="pct"/>
            <w:tcBorders>
              <w:top w:val="nil"/>
              <w:left w:val="nil"/>
              <w:bottom w:val="single" w:color="auto" w:sz="4" w:space="0"/>
              <w:right w:val="single" w:color="auto" w:sz="4" w:space="0"/>
            </w:tcBorders>
            <w:noWrap/>
            <w:vAlign w:val="center"/>
          </w:tcPr>
          <w:p w14:paraId="28B3798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0.1017</w:t>
            </w:r>
          </w:p>
        </w:tc>
        <w:tc>
          <w:tcPr>
            <w:tcW w:w="415" w:type="pct"/>
            <w:tcBorders>
              <w:top w:val="nil"/>
              <w:left w:val="nil"/>
              <w:bottom w:val="single" w:color="auto" w:sz="4" w:space="0"/>
              <w:right w:val="single" w:color="auto" w:sz="4" w:space="0"/>
            </w:tcBorders>
            <w:noWrap/>
            <w:vAlign w:val="center"/>
          </w:tcPr>
          <w:p w14:paraId="0849592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00ED05D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2006653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3066EEB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0.9875</w:t>
            </w:r>
          </w:p>
        </w:tc>
        <w:tc>
          <w:tcPr>
            <w:tcW w:w="415" w:type="pct"/>
            <w:tcBorders>
              <w:top w:val="nil"/>
              <w:left w:val="nil"/>
              <w:bottom w:val="single" w:color="auto" w:sz="4" w:space="0"/>
              <w:right w:val="single" w:color="auto" w:sz="4" w:space="0"/>
            </w:tcBorders>
            <w:noWrap/>
            <w:vAlign w:val="center"/>
          </w:tcPr>
          <w:p w14:paraId="77DFC23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693F18D2">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50817148">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restart"/>
            <w:tcBorders>
              <w:top w:val="nil"/>
              <w:left w:val="single" w:color="auto" w:sz="4" w:space="0"/>
              <w:bottom w:val="single" w:color="auto" w:sz="4" w:space="0"/>
              <w:right w:val="single" w:color="auto" w:sz="4" w:space="0"/>
            </w:tcBorders>
            <w:noWrap/>
            <w:vAlign w:val="center"/>
          </w:tcPr>
          <w:p w14:paraId="10E3AC47">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FC63/SD1/D6/104</w:t>
            </w:r>
          </w:p>
        </w:tc>
        <w:tc>
          <w:tcPr>
            <w:tcW w:w="294" w:type="pct"/>
            <w:tcBorders>
              <w:top w:val="nil"/>
              <w:left w:val="nil"/>
              <w:bottom w:val="single" w:color="auto" w:sz="4" w:space="0"/>
              <w:right w:val="single" w:color="auto" w:sz="4" w:space="0"/>
            </w:tcBorders>
            <w:noWrap/>
            <w:vAlign w:val="center"/>
          </w:tcPr>
          <w:p w14:paraId="0954E07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Head End</w:t>
            </w:r>
          </w:p>
        </w:tc>
        <w:tc>
          <w:tcPr>
            <w:tcW w:w="358" w:type="pct"/>
            <w:tcBorders>
              <w:top w:val="nil"/>
              <w:left w:val="nil"/>
              <w:bottom w:val="single" w:color="auto" w:sz="4" w:space="0"/>
              <w:right w:val="single" w:color="auto" w:sz="4" w:space="0"/>
            </w:tcBorders>
            <w:noWrap/>
            <w:vAlign w:val="center"/>
          </w:tcPr>
          <w:p w14:paraId="1833B8F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134C2BC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C3967A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0.9913</w:t>
            </w:r>
          </w:p>
        </w:tc>
        <w:tc>
          <w:tcPr>
            <w:tcW w:w="415" w:type="pct"/>
            <w:tcBorders>
              <w:top w:val="nil"/>
              <w:left w:val="nil"/>
              <w:bottom w:val="single" w:color="auto" w:sz="4" w:space="0"/>
              <w:right w:val="single" w:color="auto" w:sz="4" w:space="0"/>
            </w:tcBorders>
            <w:noWrap/>
            <w:vAlign w:val="center"/>
          </w:tcPr>
          <w:p w14:paraId="71499DF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303E377E">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0.0599</w:t>
            </w:r>
          </w:p>
        </w:tc>
        <w:tc>
          <w:tcPr>
            <w:tcW w:w="226" w:type="pct"/>
            <w:tcBorders>
              <w:top w:val="nil"/>
              <w:left w:val="nil"/>
              <w:bottom w:val="single" w:color="auto" w:sz="4" w:space="0"/>
              <w:right w:val="single" w:color="auto" w:sz="4" w:space="0"/>
            </w:tcBorders>
            <w:noWrap/>
            <w:vAlign w:val="center"/>
          </w:tcPr>
          <w:p w14:paraId="5DE3B51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03A7F94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0.3435</w:t>
            </w:r>
          </w:p>
        </w:tc>
        <w:tc>
          <w:tcPr>
            <w:tcW w:w="415" w:type="pct"/>
            <w:tcBorders>
              <w:top w:val="nil"/>
              <w:left w:val="nil"/>
              <w:bottom w:val="single" w:color="auto" w:sz="4" w:space="0"/>
              <w:right w:val="single" w:color="auto" w:sz="4" w:space="0"/>
            </w:tcBorders>
            <w:noWrap/>
            <w:vAlign w:val="center"/>
          </w:tcPr>
          <w:p w14:paraId="5E13915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2FBB309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0.9816</w:t>
            </w:r>
          </w:p>
        </w:tc>
        <w:tc>
          <w:tcPr>
            <w:tcW w:w="226" w:type="pct"/>
            <w:tcBorders>
              <w:top w:val="nil"/>
              <w:left w:val="nil"/>
              <w:bottom w:val="single" w:color="auto" w:sz="4" w:space="0"/>
              <w:right w:val="single" w:color="auto" w:sz="4" w:space="0"/>
            </w:tcBorders>
            <w:noWrap/>
            <w:vAlign w:val="center"/>
          </w:tcPr>
          <w:p w14:paraId="3B44BC7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5700163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0.9528</w:t>
            </w:r>
          </w:p>
        </w:tc>
        <w:tc>
          <w:tcPr>
            <w:tcW w:w="415" w:type="pct"/>
            <w:tcBorders>
              <w:top w:val="nil"/>
              <w:left w:val="nil"/>
              <w:bottom w:val="single" w:color="auto" w:sz="4" w:space="0"/>
              <w:right w:val="single" w:color="auto" w:sz="4" w:space="0"/>
            </w:tcBorders>
            <w:noWrap/>
            <w:vAlign w:val="center"/>
          </w:tcPr>
          <w:p w14:paraId="39616A7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r w14:paraId="44D6903F">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34A82135">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310EBDD4">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1D95441C">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 xml:space="preserve">Middle </w:t>
            </w:r>
          </w:p>
        </w:tc>
        <w:tc>
          <w:tcPr>
            <w:tcW w:w="358" w:type="pct"/>
            <w:tcBorders>
              <w:top w:val="nil"/>
              <w:left w:val="nil"/>
              <w:bottom w:val="single" w:color="auto" w:sz="4" w:space="0"/>
              <w:right w:val="single" w:color="auto" w:sz="4" w:space="0"/>
            </w:tcBorders>
            <w:noWrap/>
            <w:vAlign w:val="center"/>
          </w:tcPr>
          <w:p w14:paraId="0262B4B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1FBAF84B">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2D410BD">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7C931C0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32A7B5B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0.0316</w:t>
            </w:r>
          </w:p>
        </w:tc>
        <w:tc>
          <w:tcPr>
            <w:tcW w:w="226" w:type="pct"/>
            <w:tcBorders>
              <w:top w:val="nil"/>
              <w:left w:val="nil"/>
              <w:bottom w:val="single" w:color="auto" w:sz="4" w:space="0"/>
              <w:right w:val="single" w:color="auto" w:sz="4" w:space="0"/>
            </w:tcBorders>
            <w:noWrap/>
            <w:vAlign w:val="center"/>
          </w:tcPr>
          <w:p w14:paraId="66F3716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0.0024</w:t>
            </w:r>
          </w:p>
        </w:tc>
        <w:tc>
          <w:tcPr>
            <w:tcW w:w="277" w:type="pct"/>
            <w:tcBorders>
              <w:top w:val="nil"/>
              <w:left w:val="nil"/>
              <w:bottom w:val="single" w:color="auto" w:sz="4" w:space="0"/>
              <w:right w:val="single" w:color="auto" w:sz="4" w:space="0"/>
            </w:tcBorders>
            <w:noWrap/>
            <w:vAlign w:val="center"/>
          </w:tcPr>
          <w:p w14:paraId="2452EF5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0.2223</w:t>
            </w:r>
          </w:p>
        </w:tc>
        <w:tc>
          <w:tcPr>
            <w:tcW w:w="415" w:type="pct"/>
            <w:tcBorders>
              <w:top w:val="nil"/>
              <w:left w:val="nil"/>
              <w:bottom w:val="single" w:color="auto" w:sz="4" w:space="0"/>
              <w:right w:val="single" w:color="auto" w:sz="4" w:space="0"/>
            </w:tcBorders>
            <w:noWrap/>
            <w:vAlign w:val="center"/>
          </w:tcPr>
          <w:p w14:paraId="1CB48B7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0.0020</w:t>
            </w:r>
          </w:p>
        </w:tc>
        <w:tc>
          <w:tcPr>
            <w:tcW w:w="358" w:type="pct"/>
            <w:tcBorders>
              <w:top w:val="nil"/>
              <w:left w:val="nil"/>
              <w:bottom w:val="single" w:color="auto" w:sz="4" w:space="0"/>
              <w:right w:val="single" w:color="auto" w:sz="4" w:space="0"/>
            </w:tcBorders>
            <w:noWrap/>
            <w:vAlign w:val="center"/>
          </w:tcPr>
          <w:p w14:paraId="55560F5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0.9947</w:t>
            </w:r>
          </w:p>
        </w:tc>
        <w:tc>
          <w:tcPr>
            <w:tcW w:w="226" w:type="pct"/>
            <w:tcBorders>
              <w:top w:val="nil"/>
              <w:left w:val="nil"/>
              <w:bottom w:val="single" w:color="auto" w:sz="4" w:space="0"/>
              <w:right w:val="single" w:color="auto" w:sz="4" w:space="0"/>
            </w:tcBorders>
            <w:noWrap/>
            <w:vAlign w:val="center"/>
          </w:tcPr>
          <w:p w14:paraId="6196892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0.9940</w:t>
            </w:r>
          </w:p>
        </w:tc>
        <w:tc>
          <w:tcPr>
            <w:tcW w:w="277" w:type="pct"/>
            <w:tcBorders>
              <w:top w:val="nil"/>
              <w:left w:val="nil"/>
              <w:bottom w:val="single" w:color="auto" w:sz="4" w:space="0"/>
              <w:right w:val="single" w:color="auto" w:sz="4" w:space="0"/>
            </w:tcBorders>
            <w:noWrap/>
            <w:vAlign w:val="center"/>
          </w:tcPr>
          <w:p w14:paraId="6718077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0.9761</w:t>
            </w:r>
          </w:p>
        </w:tc>
        <w:tc>
          <w:tcPr>
            <w:tcW w:w="415" w:type="pct"/>
            <w:tcBorders>
              <w:top w:val="nil"/>
              <w:left w:val="nil"/>
              <w:bottom w:val="single" w:color="auto" w:sz="4" w:space="0"/>
              <w:right w:val="single" w:color="auto" w:sz="4" w:space="0"/>
            </w:tcBorders>
            <w:noWrap/>
            <w:vAlign w:val="center"/>
          </w:tcPr>
          <w:p w14:paraId="1FE239F8">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0.9951</w:t>
            </w:r>
          </w:p>
        </w:tc>
      </w:tr>
      <w:tr w14:paraId="526430C7">
        <w:tblPrEx>
          <w:tblCellMar>
            <w:top w:w="0" w:type="dxa"/>
            <w:left w:w="108" w:type="dxa"/>
            <w:bottom w:w="0" w:type="dxa"/>
            <w:right w:w="108" w:type="dxa"/>
          </w:tblCellMar>
        </w:tblPrEx>
        <w:trPr>
          <w:trHeight w:val="272" w:hRule="atLeast"/>
          <w:jc w:val="center"/>
        </w:trPr>
        <w:tc>
          <w:tcPr>
            <w:tcW w:w="431" w:type="pct"/>
            <w:vMerge w:val="continue"/>
            <w:tcBorders>
              <w:top w:val="nil"/>
              <w:left w:val="single" w:color="auto" w:sz="4" w:space="0"/>
              <w:bottom w:val="single" w:color="auto" w:sz="4" w:space="0"/>
              <w:right w:val="single" w:color="auto" w:sz="4" w:space="0"/>
            </w:tcBorders>
            <w:vAlign w:val="center"/>
          </w:tcPr>
          <w:p w14:paraId="7668A0B8">
            <w:pPr>
              <w:spacing w:after="0" w:line="240" w:lineRule="auto"/>
              <w:jc w:val="both"/>
              <w:rPr>
                <w:rFonts w:hint="default" w:ascii="Times New Roman" w:hAnsi="Times New Roman" w:eastAsia="Times New Roman" w:cs="Times New Roman"/>
                <w:color w:val="auto"/>
                <w:sz w:val="15"/>
                <w:szCs w:val="15"/>
                <w:highlight w:val="none"/>
              </w:rPr>
            </w:pPr>
          </w:p>
        </w:tc>
        <w:tc>
          <w:tcPr>
            <w:tcW w:w="442" w:type="pct"/>
            <w:vMerge w:val="continue"/>
            <w:tcBorders>
              <w:top w:val="nil"/>
              <w:left w:val="single" w:color="auto" w:sz="4" w:space="0"/>
              <w:bottom w:val="single" w:color="auto" w:sz="4" w:space="0"/>
              <w:right w:val="single" w:color="auto" w:sz="4" w:space="0"/>
            </w:tcBorders>
            <w:vAlign w:val="center"/>
          </w:tcPr>
          <w:p w14:paraId="26EA98E6">
            <w:pPr>
              <w:spacing w:after="0" w:line="240" w:lineRule="auto"/>
              <w:jc w:val="both"/>
              <w:rPr>
                <w:rFonts w:hint="default" w:ascii="Times New Roman" w:hAnsi="Times New Roman" w:eastAsia="Times New Roman" w:cs="Times New Roman"/>
                <w:color w:val="auto"/>
                <w:sz w:val="15"/>
                <w:szCs w:val="15"/>
                <w:highlight w:val="none"/>
              </w:rPr>
            </w:pPr>
          </w:p>
        </w:tc>
        <w:tc>
          <w:tcPr>
            <w:tcW w:w="294" w:type="pct"/>
            <w:tcBorders>
              <w:top w:val="nil"/>
              <w:left w:val="nil"/>
              <w:bottom w:val="single" w:color="auto" w:sz="4" w:space="0"/>
              <w:right w:val="single" w:color="auto" w:sz="4" w:space="0"/>
            </w:tcBorders>
            <w:noWrap/>
            <w:vAlign w:val="center"/>
          </w:tcPr>
          <w:p w14:paraId="10F87252">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Tail End</w:t>
            </w:r>
          </w:p>
        </w:tc>
        <w:tc>
          <w:tcPr>
            <w:tcW w:w="358" w:type="pct"/>
            <w:tcBorders>
              <w:top w:val="nil"/>
              <w:left w:val="nil"/>
              <w:bottom w:val="single" w:color="auto" w:sz="4" w:space="0"/>
              <w:right w:val="single" w:color="auto" w:sz="4" w:space="0"/>
            </w:tcBorders>
            <w:noWrap/>
            <w:vAlign w:val="center"/>
          </w:tcPr>
          <w:p w14:paraId="26466133">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26" w:type="pct"/>
            <w:tcBorders>
              <w:top w:val="nil"/>
              <w:left w:val="nil"/>
              <w:bottom w:val="single" w:color="auto" w:sz="4" w:space="0"/>
              <w:right w:val="single" w:color="auto" w:sz="4" w:space="0"/>
            </w:tcBorders>
            <w:noWrap/>
            <w:vAlign w:val="center"/>
          </w:tcPr>
          <w:p w14:paraId="750B97D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58CD541F">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5820FF8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358" w:type="pct"/>
            <w:tcBorders>
              <w:top w:val="nil"/>
              <w:left w:val="nil"/>
              <w:bottom w:val="single" w:color="auto" w:sz="4" w:space="0"/>
              <w:right w:val="single" w:color="auto" w:sz="4" w:space="0"/>
            </w:tcBorders>
            <w:noWrap/>
            <w:vAlign w:val="center"/>
          </w:tcPr>
          <w:p w14:paraId="04F6D454">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0.0755</w:t>
            </w:r>
          </w:p>
        </w:tc>
        <w:tc>
          <w:tcPr>
            <w:tcW w:w="226" w:type="pct"/>
            <w:tcBorders>
              <w:top w:val="nil"/>
              <w:left w:val="nil"/>
              <w:bottom w:val="single" w:color="auto" w:sz="4" w:space="0"/>
              <w:right w:val="single" w:color="auto" w:sz="4" w:space="0"/>
            </w:tcBorders>
            <w:noWrap/>
            <w:vAlign w:val="center"/>
          </w:tcPr>
          <w:p w14:paraId="0C3C538A">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0.0000</w:t>
            </w:r>
          </w:p>
        </w:tc>
        <w:tc>
          <w:tcPr>
            <w:tcW w:w="277" w:type="pct"/>
            <w:tcBorders>
              <w:top w:val="nil"/>
              <w:left w:val="nil"/>
              <w:bottom w:val="single" w:color="auto" w:sz="4" w:space="0"/>
              <w:right w:val="single" w:color="auto" w:sz="4" w:space="0"/>
            </w:tcBorders>
            <w:noWrap/>
            <w:vAlign w:val="center"/>
          </w:tcPr>
          <w:p w14:paraId="015D916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0.1000</w:t>
            </w:r>
          </w:p>
        </w:tc>
        <w:tc>
          <w:tcPr>
            <w:tcW w:w="415" w:type="pct"/>
            <w:tcBorders>
              <w:top w:val="nil"/>
              <w:left w:val="nil"/>
              <w:bottom w:val="single" w:color="auto" w:sz="4" w:space="0"/>
              <w:right w:val="single" w:color="auto" w:sz="4" w:space="0"/>
            </w:tcBorders>
            <w:noWrap/>
            <w:vAlign w:val="center"/>
          </w:tcPr>
          <w:p w14:paraId="7D9EEB36">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0.0001</w:t>
            </w:r>
          </w:p>
        </w:tc>
        <w:tc>
          <w:tcPr>
            <w:tcW w:w="358" w:type="pct"/>
            <w:tcBorders>
              <w:top w:val="nil"/>
              <w:left w:val="nil"/>
              <w:bottom w:val="single" w:color="auto" w:sz="4" w:space="0"/>
              <w:right w:val="single" w:color="auto" w:sz="4" w:space="0"/>
            </w:tcBorders>
            <w:noWrap/>
            <w:vAlign w:val="center"/>
          </w:tcPr>
          <w:p w14:paraId="54B26091">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0.9367</w:t>
            </w:r>
          </w:p>
        </w:tc>
        <w:tc>
          <w:tcPr>
            <w:tcW w:w="226" w:type="pct"/>
            <w:tcBorders>
              <w:top w:val="nil"/>
              <w:left w:val="nil"/>
              <w:bottom w:val="single" w:color="auto" w:sz="4" w:space="0"/>
              <w:right w:val="single" w:color="auto" w:sz="4" w:space="0"/>
            </w:tcBorders>
            <w:noWrap/>
            <w:vAlign w:val="center"/>
          </w:tcPr>
          <w:p w14:paraId="5A2F79E9">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277" w:type="pct"/>
            <w:tcBorders>
              <w:top w:val="nil"/>
              <w:left w:val="nil"/>
              <w:bottom w:val="single" w:color="auto" w:sz="4" w:space="0"/>
              <w:right w:val="single" w:color="auto" w:sz="4" w:space="0"/>
            </w:tcBorders>
            <w:noWrap/>
            <w:vAlign w:val="center"/>
          </w:tcPr>
          <w:p w14:paraId="6A64B450">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c>
          <w:tcPr>
            <w:tcW w:w="415" w:type="pct"/>
            <w:tcBorders>
              <w:top w:val="nil"/>
              <w:left w:val="nil"/>
              <w:bottom w:val="single" w:color="auto" w:sz="4" w:space="0"/>
              <w:right w:val="single" w:color="auto" w:sz="4" w:space="0"/>
            </w:tcBorders>
            <w:noWrap/>
            <w:vAlign w:val="center"/>
          </w:tcPr>
          <w:p w14:paraId="346644A5">
            <w:pPr>
              <w:spacing w:after="0" w:line="240" w:lineRule="auto"/>
              <w:jc w:val="both"/>
              <w:rPr>
                <w:rFonts w:hint="default" w:ascii="Times New Roman" w:hAnsi="Times New Roman" w:eastAsia="Times New Roman" w:cs="Times New Roman"/>
                <w:color w:val="auto"/>
                <w:sz w:val="15"/>
                <w:szCs w:val="15"/>
                <w:highlight w:val="none"/>
              </w:rPr>
            </w:pPr>
            <w:r>
              <w:rPr>
                <w:rFonts w:hint="default" w:ascii="Times New Roman" w:hAnsi="Times New Roman" w:eastAsia="Times New Roman" w:cs="Times New Roman"/>
                <w:color w:val="auto"/>
                <w:sz w:val="15"/>
                <w:szCs w:val="15"/>
                <w:highlight w:val="none"/>
              </w:rPr>
              <w:t>0.9999</w:t>
            </w:r>
          </w:p>
        </w:tc>
      </w:tr>
    </w:tbl>
    <w:p w14:paraId="68B01D07">
      <w:pPr>
        <w:spacing w:after="0" w:line="360" w:lineRule="auto"/>
        <w:jc w:val="both"/>
        <w:rPr>
          <w:rFonts w:hint="default" w:ascii="Times New Roman" w:hAnsi="Times New Roman" w:cs="Times New Roman"/>
          <w:color w:val="auto"/>
          <w:sz w:val="24"/>
          <w:szCs w:val="24"/>
          <w:highlight w:val="none"/>
        </w:rPr>
        <w:sectPr>
          <w:pgSz w:w="16838" w:h="11906" w:orient="landscape"/>
          <w:pgMar w:top="1440" w:right="1440" w:bottom="1440" w:left="1080" w:header="720" w:footer="720" w:gutter="0"/>
          <w:lnNumType w:countBy="1" w:restart="continuous"/>
          <w:cols w:space="720" w:num="1"/>
          <w:docGrid w:linePitch="360" w:charSpace="0"/>
        </w:sectPr>
      </w:pPr>
    </w:p>
    <w:p w14:paraId="1EF16DBC">
      <w:pPr>
        <w:spacing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According to the observed and estimated infiltration rates of the four models, HORTON's model showed the highest deviation, overestimating rates at almost all sampling points, and KOSTIAKOV's model was the next poorest. Both are empirical or semi-empirical formulations whose parameters lack a consistent physical interpretation, and the graphical procedure used to obtain the initial and steady-state rates that these models require as inputs is sensitive to reading error and, as shown above, to the fact that a true steady state was rarely attained within the test window. The two physically based models performed distinctly better. Averaged over the 23 canal reaches,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model returned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0.9996,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0.0013 cm/h and </w:t>
      </w:r>
      <w:r>
        <w:rPr>
          <w:rFonts w:hint="default" w:ascii="Times New Roman" w:hAnsi="Times New Roman" w:cs="Times New Roman"/>
          <w:i/>
          <w:iCs/>
          <w:color w:val="auto"/>
          <w:sz w:val="21"/>
          <w:szCs w:val="21"/>
          <w:highlight w:val="none"/>
        </w:rPr>
        <w:t xml:space="preserve">NSE </w:t>
      </w:r>
      <w:r>
        <w:rPr>
          <w:rFonts w:hint="default" w:ascii="Times New Roman" w:hAnsi="Times New Roman" w:cs="Times New Roman"/>
          <w:color w:val="auto"/>
          <w:sz w:val="21"/>
          <w:szCs w:val="21"/>
          <w:highlight w:val="none"/>
        </w:rPr>
        <w:t xml:space="preserve">= 0.9995, and PHILIP's model returned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0.9991,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0.0025 cm/h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0.9971, against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0.9897,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0.1361 cm/h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0.9864 for KOSTIAKOV's model and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0.9838,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 0.1645 cm/h and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0.9826 for HORTON's. The difference between the two physically based models is not meaningful: PHILIP's model gave the lower </w:t>
      </w:r>
      <w:r>
        <w:rPr>
          <w:rFonts w:hint="default" w:ascii="Times New Roman" w:hAnsi="Times New Roman" w:cs="Times New Roman"/>
          <w:i/>
          <w:iCs/>
          <w:color w:val="auto"/>
          <w:sz w:val="21"/>
          <w:szCs w:val="21"/>
          <w:highlight w:val="none"/>
        </w:rPr>
        <w:t>RMSE</w:t>
      </w:r>
      <w:r>
        <w:rPr>
          <w:rFonts w:hint="default" w:ascii="Times New Roman" w:hAnsi="Times New Roman" w:cs="Times New Roman"/>
          <w:color w:val="auto"/>
          <w:sz w:val="21"/>
          <w:szCs w:val="21"/>
          <w:highlight w:val="none"/>
        </w:rPr>
        <w:t xml:space="preserve"> at 10 of the 23 reaches,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at 11, and the two were identical at the remaining 2.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's model was marginally the more robust in the worst case (minimum </w:t>
      </w:r>
      <w:r>
        <w:rPr>
          <w:rFonts w:hint="default" w:ascii="Times New Roman" w:hAnsi="Times New Roman" w:cs="Times New Roman"/>
          <w:i/>
          <w:iCs/>
          <w:color w:val="auto"/>
          <w:sz w:val="21"/>
          <w:szCs w:val="21"/>
          <w:highlight w:val="none"/>
        </w:rPr>
        <w:t>R</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 xml:space="preserve"> = 0.9937, minimum </w:t>
      </w:r>
      <w:r>
        <w:rPr>
          <w:rFonts w:hint="default" w:ascii="Times New Roman" w:hAnsi="Times New Roman" w:cs="Times New Roman"/>
          <w:i/>
          <w:iCs/>
          <w:color w:val="auto"/>
          <w:sz w:val="21"/>
          <w:szCs w:val="21"/>
          <w:highlight w:val="none"/>
        </w:rPr>
        <w:t>NSE</w:t>
      </w:r>
      <w:r>
        <w:rPr>
          <w:rFonts w:hint="default" w:ascii="Times New Roman" w:hAnsi="Times New Roman" w:cs="Times New Roman"/>
          <w:color w:val="auto"/>
          <w:sz w:val="21"/>
          <w:szCs w:val="21"/>
          <w:highlight w:val="none"/>
        </w:rPr>
        <w:t xml:space="preserve"> = 0.9951) compared with PHILIP's model (0.9821 and 0.9526). The defensible conclusion is therefore that the physically based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 and PHILIP models are statistically indistinguishable from one another under these conditions, and that both clearly outperform the empirical KOSTIAKOV and semi-empirical HORTON models. PHILIP's model is nonetheless preferred for practical application in these schemes, because its two parameters S and K are directly interpretable in terms of measurable soil hydraulic properties and vary systematically with soil texture (Table 5), whereas the m and n coefficients of the regression form of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's model adopted here carry no equivalent physical meaning and cannot be transferred to an unmeasured field.</w:t>
      </w:r>
    </w:p>
    <w:p w14:paraId="67C302FA">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The RMSE values obtained were in all cases below 0.36 cm/h (Table 4), and the two physically based models reduced this to below 0.03 cm/h. This ordering, with physically based models ahead of empirical ones, is consistent with several international studies. </w:t>
      </w:r>
      <w:r>
        <w:rPr>
          <w:rFonts w:hint="default" w:ascii="Times New Roman" w:hAnsi="Times New Roman" w:cs="Times New Roman"/>
          <w:color w:val="auto"/>
          <w:sz w:val="21"/>
          <w:szCs w:val="21"/>
          <w:highlight w:val="none"/>
        </w:rPr>
        <w:t>HSU</w:t>
      </w:r>
      <w:r>
        <w:rPr>
          <w:rFonts w:hint="default" w:ascii="Times New Roman" w:hAnsi="Times New Roman" w:cs="Times New Roman"/>
          <w:color w:val="auto"/>
          <w:sz w:val="21"/>
          <w:szCs w:val="21"/>
          <w:highlight w:val="none"/>
        </w:rPr>
        <w:t xml:space="preserve"> et al. </w:t>
      </w:r>
      <w:r>
        <w:rPr>
          <w:rFonts w:hint="default" w:ascii="Times New Roman" w:hAnsi="Times New Roman" w:cs="Times New Roman"/>
          <w:color w:val="auto"/>
          <w:sz w:val="21"/>
          <w:szCs w:val="21"/>
          <w:highlight w:val="none"/>
          <w:vertAlign w:val="superscript"/>
        </w:rPr>
        <w:t>[37]</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 xml:space="preserve">tested sand, loam and clay against solutions of the Richards equation and found that the PHILIP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 formulas fitted the observed infiltration rate better than the HORTON formula. </w:t>
      </w:r>
      <w:r>
        <w:rPr>
          <w:rFonts w:hint="default" w:ascii="Times New Roman" w:hAnsi="Times New Roman" w:cs="Times New Roman"/>
          <w:color w:val="auto"/>
          <w:sz w:val="21"/>
          <w:szCs w:val="21"/>
          <w:highlight w:val="none"/>
        </w:rPr>
        <w:t>TASHAYO</w:t>
      </w:r>
      <w:r>
        <w:rPr>
          <w:rFonts w:hint="default" w:ascii="Times New Roman" w:hAnsi="Times New Roman" w:cs="Times New Roman"/>
          <w:color w:val="auto"/>
          <w:sz w:val="21"/>
          <w:szCs w:val="21"/>
          <w:highlight w:val="none"/>
        </w:rPr>
        <w:t xml:space="preserve"> et al.</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[38]</w:t>
      </w:r>
      <w:r>
        <w:rPr>
          <w:rFonts w:hint="default" w:ascii="Times New Roman" w:hAnsi="Times New Roman" w:cs="Times New Roman"/>
          <w:color w:val="auto"/>
          <w:sz w:val="21"/>
          <w:szCs w:val="21"/>
          <w:highlight w:val="none"/>
        </w:rPr>
        <w:t xml:space="preserve"> mapped PHILIP parameters at watershed scale in a semi-arid region of Iran and reported good performance for sandy, silty and clayey soils. </w:t>
      </w:r>
      <w:r>
        <w:rPr>
          <w:rFonts w:hint="default" w:ascii="Times New Roman" w:hAnsi="Times New Roman" w:cs="Times New Roman"/>
          <w:color w:val="auto"/>
          <w:sz w:val="21"/>
          <w:szCs w:val="21"/>
          <w:highlight w:val="none"/>
        </w:rPr>
        <w:t>DASHTAKI</w:t>
      </w:r>
      <w:r>
        <w:rPr>
          <w:rFonts w:hint="default" w:ascii="Times New Roman" w:hAnsi="Times New Roman" w:cs="Times New Roman"/>
          <w:color w:val="auto"/>
          <w:sz w:val="21"/>
          <w:szCs w:val="21"/>
          <w:highlight w:val="none"/>
        </w:rPr>
        <w:t xml:space="preserve"> et al. </w:t>
      </w:r>
      <w:r>
        <w:rPr>
          <w:rFonts w:hint="default" w:ascii="Times New Roman" w:hAnsi="Times New Roman" w:cs="Times New Roman"/>
          <w:color w:val="auto"/>
          <w:sz w:val="21"/>
          <w:szCs w:val="21"/>
          <w:highlight w:val="none"/>
          <w:vertAlign w:val="superscript"/>
        </w:rPr>
        <w:t>[39</w:t>
      </w:r>
      <w:r>
        <w:rPr>
          <w:rFonts w:hint="default" w:ascii="Times New Roman" w:hAnsi="Times New Roman" w:cs="Times New Roman" w:eastAsiaTheme="minorEastAsia"/>
          <w:color w:val="auto"/>
          <w:sz w:val="21"/>
          <w:szCs w:val="21"/>
          <w:highlight w:val="none"/>
          <w:vertAlign w:val="superscript"/>
          <w:lang w:eastAsia="zh-CN"/>
        </w:rPr>
        <w:t>-40</w:t>
      </w:r>
      <w:r>
        <w:rPr>
          <w:rFonts w:hint="default" w:ascii="Times New Roman" w:hAnsi="Times New Roman" w:cs="Times New Roman"/>
          <w:color w:val="auto"/>
          <w:sz w:val="21"/>
          <w:szCs w:val="21"/>
          <w:highlight w:val="none"/>
          <w:vertAlign w:val="superscript"/>
        </w:rPr>
        <w:t>]</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found the KOSTIAKOV, HORTON and PHILIP models to be strongly site-dependent across sandy loam, loam, silty loam, silty clay loam, clay loam and clay textures.</w:t>
      </w:r>
      <w:bookmarkStart w:id="13" w:name="_Hlk218023041"/>
      <w:bookmarkEnd w:id="13"/>
      <w:bookmarkStart w:id="14" w:name="_Hlk218023679"/>
      <w:bookmarkEnd w:id="14"/>
    </w:p>
    <w:p w14:paraId="65E064AA">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The ordering nevertheless contrasts with a body of work in which empirical formulations were ranked more highly. Comparative studies from India and the United States have favoured the HORTON, HOLTAN and SINGH-YU models, particularly under laboratory-controlled or unsaturated field conditions, and work under Indian upland and mixed land-cover conditions has repeatedly reported superior performance of the HORTON model</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vertAlign w:val="superscript"/>
        </w:rPr>
        <w:t>[19-20]</w:t>
      </w:r>
      <w:r>
        <w:rPr>
          <w:rFonts w:hint="default" w:ascii="Times New Roman" w:hAnsi="Times New Roman" w:cs="Times New Roman"/>
          <w:color w:val="auto"/>
          <w:sz w:val="21"/>
          <w:szCs w:val="21"/>
          <w:highlight w:val="none"/>
        </w:rPr>
        <w:t>. Three characteristics of Sri Lankan paddy fields plausibly account for this divergence. They are advanced here as hypotheses that are consistent with the present data rather than as mechanisms demonstrated by it.</w:t>
      </w:r>
    </w:p>
    <w:p w14:paraId="6DC5CED6">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First, the hydraulic boundary condition differs fundamentally. The studies that favour empirical models were generally conducted on upland or unsaturated profiles, or under rainfall simulation, where the surface boundary condition is a flux and the profile is initially dry. Infiltration then departs strongly from the one-dimensional, sharp-front, constant-head idealisation on which the PHILIP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 solutions rest, and a flexible empirical decay curve fits the data better. The present measurements were made in canal-fed paddy fields during land preparation under continuous ponding, which imposes almost exactly the constant-head, near-saturated upper boundary that these two physically based solutions assume. Under such conditions the physical models are being applied within, rather than outside, their domain of validity, and the tgrav analysis presented above shows that the measurement window lay almost entirely within the capillary-dominated regime that the PHILIP series describes.</w:t>
      </w:r>
    </w:p>
    <w:p w14:paraId="11FD3465">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Second, long-term puddling creates a compacted plough pan immediately beneath the tilled layer, which acts as a low-permeability restricting horizon and imposes a vertically layered but temporally stable structure on the profile. </w:t>
      </w:r>
      <w:r>
        <w:rPr>
          <w:rFonts w:hint="default" w:ascii="Times New Roman" w:hAnsi="Times New Roman" w:cs="Times New Roman"/>
          <w:color w:val="auto"/>
          <w:sz w:val="21"/>
          <w:szCs w:val="21"/>
          <w:highlight w:val="none"/>
        </w:rPr>
        <w:t>WOPEREIS</w:t>
      </w:r>
      <w:r>
        <w:rPr>
          <w:rFonts w:hint="default" w:ascii="Times New Roman" w:hAnsi="Times New Roman" w:cs="Times New Roman"/>
          <w:color w:val="auto"/>
          <w:sz w:val="21"/>
          <w:szCs w:val="21"/>
          <w:highlight w:val="none"/>
        </w:rPr>
        <w:t xml:space="preserve"> et al. </w:t>
      </w:r>
      <w:r>
        <w:rPr>
          <w:rFonts w:hint="default" w:ascii="Times New Roman" w:hAnsi="Times New Roman" w:cs="Times New Roman"/>
          <w:color w:val="auto"/>
          <w:sz w:val="21"/>
          <w:szCs w:val="21"/>
          <w:highlight w:val="none"/>
          <w:vertAlign w:val="superscript"/>
        </w:rPr>
        <w:t>[41]</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 xml:space="preserve">demonstrated that this pan dominates the hydraulic resistance of puddled rice soils, and </w:t>
      </w:r>
      <w:r>
        <w:rPr>
          <w:rFonts w:hint="default" w:ascii="Times New Roman" w:hAnsi="Times New Roman" w:cs="Times New Roman"/>
          <w:color w:val="auto"/>
          <w:sz w:val="21"/>
          <w:szCs w:val="21"/>
          <w:highlight w:val="none"/>
        </w:rPr>
        <w:t>JANSSEN</w:t>
      </w:r>
      <w:r>
        <w:rPr>
          <w:rFonts w:hint="default" w:ascii="Times New Roman" w:hAnsi="Times New Roman" w:cs="Times New Roman"/>
          <w:color w:val="auto"/>
          <w:sz w:val="21"/>
          <w:szCs w:val="21"/>
          <w:highlight w:val="none"/>
        </w:rPr>
        <w:t xml:space="preserve"> et al. </w:t>
      </w:r>
      <w:r>
        <w:rPr>
          <w:rFonts w:hint="default" w:ascii="Times New Roman" w:hAnsi="Times New Roman" w:cs="Times New Roman"/>
          <w:color w:val="auto"/>
          <w:sz w:val="21"/>
          <w:szCs w:val="21"/>
          <w:highlight w:val="none"/>
          <w:vertAlign w:val="superscript"/>
        </w:rPr>
        <w:t>[42]</w:t>
      </w:r>
      <w:r>
        <w:rPr>
          <w:rFonts w:hint="default" w:ascii="Times New Roman" w:hAnsi="Times New Roman" w:cs="Times New Roman"/>
          <w:color w:val="auto"/>
          <w:sz w:val="21"/>
          <w:szCs w:val="21"/>
          <w:highlight w:val="none"/>
        </w:rPr>
        <w:t xml:space="preserve"> showed that percolation rates fell approximately 35-fold after 20 years and 175-fold after 100 years of continuous paddy cultivation, with geometric-mean infiltration rates of 28.0, 0.79 and 0.16 cm/d in fields cultivated for 3, 20 and 100 years respectively. A stable, low-conductivity restricting layer at shallow depth produces a smoothly declining infiltration curve that approaches a low and well-defined conductivity-controlled limit, which is the behaviour the PHILIP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 xml:space="preserve"> formulations are constructed to describe. The low</w:t>
      </w:r>
      <w:r>
        <w:rPr>
          <w:rFonts w:hint="default" w:ascii="Times New Roman" w:hAnsi="Times New Roman" w:cs="Times New Roman"/>
          <w:i/>
          <w:iCs/>
          <w:color w:val="auto"/>
          <w:sz w:val="21"/>
          <w:szCs w:val="21"/>
          <w:highlight w:val="none"/>
        </w:rPr>
        <w:t xml:space="preserve"> K</w:t>
      </w:r>
      <w:r>
        <w:rPr>
          <w:rFonts w:hint="default" w:ascii="Times New Roman" w:hAnsi="Times New Roman" w:cs="Times New Roman"/>
          <w:color w:val="auto"/>
          <w:sz w:val="21"/>
          <w:szCs w:val="21"/>
          <w:highlight w:val="none"/>
        </w:rPr>
        <w:t xml:space="preserve"> values obtained in the present study (mean 0.186 cm/h, minimum 0.011 cm/h) are consistent with such a pan controlling vertical flux. It should be noted that the plough pan was not directly characterised here: the double-ring cylinders were driven approximately 0.1 m into the profile, at or slightly above the depth at which the pan typically develops, so the measured rates integrate the tilled layer and the upper part of the pan. Direct measurement of pan depth, thickness and bulk density is recommended in future work.</w:t>
      </w:r>
    </w:p>
    <w:p w14:paraId="71F1EC1C">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Third, clay mineralogy differs. </w:t>
      </w:r>
      <w:r>
        <w:rPr>
          <w:rFonts w:hint="default" w:ascii="Times New Roman" w:hAnsi="Times New Roman" w:cs="Times New Roman"/>
          <w:color w:val="auto"/>
          <w:sz w:val="21"/>
          <w:szCs w:val="21"/>
          <w:highlight w:val="none"/>
        </w:rPr>
        <w:t>The</w:t>
      </w:r>
      <w:r>
        <w:rPr>
          <w:rFonts w:hint="default" w:ascii="Times New Roman" w:hAnsi="Times New Roman" w:cs="Times New Roman"/>
          <w:color w:val="auto"/>
          <w:sz w:val="21"/>
          <w:szCs w:val="21"/>
          <w:highlight w:val="none"/>
        </w:rPr>
        <w:t xml:space="preserve"> Low Humic Gley and Reddish Brown Earth soils that dominate the paddy lands of the Sri Lankan dry zone are kaolinite-rich, with kaolinite typically accounting for 40-60% of the clay fraction and montmorillonite and vermiculite present only as secondary components </w:t>
      </w:r>
      <w:r>
        <w:rPr>
          <w:rFonts w:hint="default" w:ascii="Times New Roman" w:hAnsi="Times New Roman" w:cs="Times New Roman"/>
          <w:color w:val="auto"/>
          <w:sz w:val="21"/>
          <w:szCs w:val="21"/>
          <w:highlight w:val="none"/>
          <w:vertAlign w:val="superscript"/>
        </w:rPr>
        <w:t>[43]</w:t>
      </w:r>
      <w:r>
        <w:rPr>
          <w:rFonts w:hint="default" w:ascii="Times New Roman" w:hAnsi="Times New Roman" w:cs="Times New Roman"/>
          <w:color w:val="auto"/>
          <w:sz w:val="21"/>
          <w:szCs w:val="21"/>
          <w:highlight w:val="none"/>
        </w:rPr>
        <w:t xml:space="preserve">. Kaolinite is a non-expanding 1:1 mineral with limited shrink-swell capacity, so these profiles do not develop the deep desiccation cracks characteristic of smectite-rich Vertisols. By contrast, many of the Indian sites at which empirical models have been favoured are smectitic black cotton soils, in which crack networks generate strong preferential flow and a bimodal pore system. Preferential flow violates the single-domain, matrix-flow assumption common to both PHILIP's and </w:t>
      </w:r>
      <w:r>
        <w:rPr>
          <w:rFonts w:hint="default" w:ascii="Times New Roman" w:hAnsi="Times New Roman" w:cs="Times New Roman"/>
          <w:color w:val="auto"/>
          <w:sz w:val="21"/>
          <w:szCs w:val="21"/>
          <w:highlight w:val="none"/>
          <w:lang w:eastAsia="zh-CN"/>
        </w:rPr>
        <w:t>GREEN-AMPT</w:t>
      </w:r>
      <w:r>
        <w:rPr>
          <w:rFonts w:hint="default" w:ascii="Times New Roman" w:hAnsi="Times New Roman" w:cs="Times New Roman"/>
          <w:color w:val="auto"/>
          <w:sz w:val="21"/>
          <w:szCs w:val="21"/>
          <w:highlight w:val="none"/>
        </w:rPr>
        <w:t>'s derivations, and in such profiles an empirical decay curve, which commits to no particular flow geometry, will naturally fit better. The kaolinitic, non-cracking, continuously ponded profiles examined here present the opposite situation, and the physically based models correspondingly perform well. Direct mineralogical analysis of the study soils was outside the scope of this work, and this argument rests on published regional characterisation rather than on site-specific X-ray diffraction; confirming it would be a valuable extension of the present study.</w:t>
      </w:r>
    </w:p>
    <w:p w14:paraId="50CD1545">
      <w:pPr>
        <w:spacing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Although these studies have compared infiltration models, the number remains very limited and they are particularly scarce in Asia, and more so within South Asian irrigation systems. A field-scale evaluation of infiltration models under operational paddy irrigation conditions remains largely absent across South Asia and, to the authors' knowledge, entirely absent in Sri Lanka. The present study therefore represents the first systematic, field-based comparison of classical infiltration models calibrated against measured data from Sri Lankan paddy irrigation schemes. Unlike laboratory experiments or rainfall-simulator studies, this work was conducted under the canal-fed, near-saturated conditions characteristic of clay-dominated paddy fields and small irrigation command areas typical of Sri Lanka. Moreover, the validated performance of the PHILIP model offers a physically interpretable and transferable alternative for infiltration estimation in data-scarce paddy systems. Several limitations should be borne in mind. The study covered three paddy areas in Sri Lanka and predominantly clay-textured soils, so different results may be obtained for loamy or sandy profiles and in other agro-ecological regions. Soil texture was classified by field augering and tactile assessment using the USDA soil texture triangle, which identifies dominant textural classes reliably but may confound closely related subclasses; laboratory particle-size analysis and direct measurement of soil hydraulic properties would improve textural resolution and model parameterisation. Antecedent moisture content, plough pan geometry and clay mineralogy were not measured. Model parameters were calibrated and evaluated on the same curves, so the reported indices are measures of fit rather than of predictive skill. Future work should incorporate independent validation, seasonal repetition to capture variation in soil moisture and puddling state, and additional formulations such as the Modified PHILIP, Huggins-Monke and Holtan models calibrated on larger datasets. Applying these models under verified field conditions enables accurate determination of infiltration characteristics, which in turn supports optimised infiltration simulation, improved irrigation performance and reduced water waste, and thereby enhances resource efficiency and sustainable water management </w:t>
      </w:r>
      <w:r>
        <w:rPr>
          <w:rFonts w:hint="default" w:ascii="Times New Roman" w:hAnsi="Times New Roman" w:cs="Times New Roman"/>
          <w:color w:val="auto"/>
          <w:sz w:val="21"/>
          <w:szCs w:val="21"/>
          <w:highlight w:val="none"/>
          <w:vertAlign w:val="superscript"/>
        </w:rPr>
        <w:t>[40]</w:t>
      </w:r>
      <w:r>
        <w:rPr>
          <w:rFonts w:hint="default" w:ascii="Times New Roman" w:hAnsi="Times New Roman" w:cs="Times New Roman"/>
          <w:color w:val="auto"/>
          <w:sz w:val="21"/>
          <w:szCs w:val="21"/>
          <w:highlight w:val="none"/>
        </w:rPr>
        <w:t>.</w:t>
      </w:r>
    </w:p>
    <w:tbl>
      <w:tblPr>
        <w:tblStyle w:val="88"/>
        <w:tblW w:w="0" w:type="auto"/>
        <w:tblInd w:w="0" w:type="dxa"/>
        <w:tblLayout w:type="autofit"/>
        <w:tblCellMar>
          <w:top w:w="0" w:type="dxa"/>
          <w:left w:w="108" w:type="dxa"/>
          <w:bottom w:w="0" w:type="dxa"/>
          <w:right w:w="108" w:type="dxa"/>
        </w:tblCellMar>
      </w:tblPr>
      <w:tblGrid>
        <w:gridCol w:w="9016"/>
      </w:tblGrid>
      <w:tr w14:paraId="502B46DB">
        <w:tblPrEx>
          <w:tblCellMar>
            <w:top w:w="0" w:type="dxa"/>
            <w:left w:w="108" w:type="dxa"/>
            <w:bottom w:w="0" w:type="dxa"/>
            <w:right w:w="108" w:type="dxa"/>
          </w:tblCellMar>
        </w:tblPrEx>
        <w:tc>
          <w:tcPr>
            <w:tcW w:w="9016" w:type="dxa"/>
          </w:tcPr>
          <w:p w14:paraId="2048B4D7">
            <w:pPr>
              <w:spacing w:after="0" w:line="240" w:lineRule="auto"/>
              <w:jc w:val="both"/>
              <w:rPr>
                <w:rFonts w:hint="default" w:ascii="Times New Roman" w:hAnsi="Times New Roman" w:cs="Times New Roman"/>
                <w:b/>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5471795" cy="2599055"/>
                  <wp:effectExtent l="0" t="0" r="0" b="15240"/>
                  <wp:docPr id="18312012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C13D6FB">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(a) Simulated (KOSTIAKOV's) vs observed infiltration rate, Minipe D47</w:t>
            </w:r>
          </w:p>
        </w:tc>
      </w:tr>
      <w:tr w14:paraId="239CEEDE">
        <w:tblPrEx>
          <w:tblCellMar>
            <w:top w:w="0" w:type="dxa"/>
            <w:left w:w="108" w:type="dxa"/>
            <w:bottom w:w="0" w:type="dxa"/>
            <w:right w:w="108" w:type="dxa"/>
          </w:tblCellMar>
        </w:tblPrEx>
        <w:tc>
          <w:tcPr>
            <w:tcW w:w="9016" w:type="dxa"/>
            <w:shd w:val="clear" w:color="auto" w:fill="F1F1F1" w:themeFill="background1" w:themeFillShade="F2"/>
          </w:tcPr>
          <w:p w14:paraId="77F9712B">
            <w:pPr>
              <w:spacing w:after="0" w:line="240" w:lineRule="auto"/>
              <w:jc w:val="both"/>
              <w:rPr>
                <w:rFonts w:hint="default" w:ascii="Times New Roman" w:hAnsi="Times New Roman" w:cs="Times New Roman"/>
                <w:b/>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5471795" cy="2644775"/>
                  <wp:effectExtent l="0" t="0" r="3810" b="15240"/>
                  <wp:docPr id="192202590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0D9EE6E">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(b) Simulated (HORTON's) vs observed infiltration rate, Minipe D47</w:t>
            </w:r>
          </w:p>
        </w:tc>
      </w:tr>
      <w:tr w14:paraId="24EEFD80">
        <w:tblPrEx>
          <w:tblCellMar>
            <w:top w:w="0" w:type="dxa"/>
            <w:left w:w="108" w:type="dxa"/>
            <w:bottom w:w="0" w:type="dxa"/>
            <w:right w:w="108" w:type="dxa"/>
          </w:tblCellMar>
        </w:tblPrEx>
        <w:tc>
          <w:tcPr>
            <w:tcW w:w="9016" w:type="dxa"/>
          </w:tcPr>
          <w:p w14:paraId="7C46AD78">
            <w:pPr>
              <w:spacing w:after="0" w:line="240" w:lineRule="auto"/>
              <w:jc w:val="both"/>
              <w:rPr>
                <w:rFonts w:hint="default" w:ascii="Times New Roman" w:hAnsi="Times New Roman" w:cs="Times New Roman"/>
                <w:b/>
                <w:bCs w:val="0"/>
                <w:color w:val="auto"/>
                <w:sz w:val="24"/>
                <w:szCs w:val="24"/>
                <w:highlight w:val="none"/>
              </w:rPr>
            </w:pPr>
            <w:r>
              <w:rPr>
                <w:rFonts w:hint="default" w:ascii="Times New Roman" w:hAnsi="Times New Roman" w:cs="Times New Roman"/>
                <w:b/>
                <w:bCs/>
                <w:color w:val="auto"/>
                <w:highlight w:val="none"/>
              </w:rPr>
              <w:drawing>
                <wp:inline distT="0" distB="0" distL="0" distR="0">
                  <wp:extent cx="5471795" cy="2888615"/>
                  <wp:effectExtent l="0" t="0" r="7620" b="15240"/>
                  <wp:docPr id="7630935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6137EAA">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(c) Simulated (PHILIP's) vs observed infiltration rate, Minipe D47</w:t>
            </w:r>
          </w:p>
        </w:tc>
      </w:tr>
      <w:tr w14:paraId="4B29C7B3">
        <w:tc>
          <w:tcPr>
            <w:tcW w:w="9016" w:type="dxa"/>
            <w:shd w:val="clear" w:color="auto" w:fill="F1F1F1" w:themeFill="background1" w:themeFillShade="F2"/>
          </w:tcPr>
          <w:p w14:paraId="64247993">
            <w:pPr>
              <w:spacing w:after="0" w:line="240" w:lineRule="auto"/>
              <w:jc w:val="both"/>
              <w:rPr>
                <w:rFonts w:hint="default" w:ascii="Times New Roman" w:hAnsi="Times New Roman" w:cs="Times New Roman"/>
                <w:b w:val="0"/>
                <w:bCs/>
                <w:color w:val="auto"/>
                <w:sz w:val="24"/>
                <w:szCs w:val="24"/>
                <w:highlight w:val="none"/>
              </w:rPr>
            </w:pPr>
            <w:r>
              <w:rPr>
                <w:rFonts w:hint="default" w:ascii="Times New Roman" w:hAnsi="Times New Roman" w:cs="Times New Roman"/>
                <w:b/>
                <w:bCs/>
                <w:color w:val="auto"/>
                <w:highlight w:val="none"/>
              </w:rPr>
              <w:drawing>
                <wp:inline distT="0" distB="0" distL="0" distR="0">
                  <wp:extent cx="5471795" cy="2990215"/>
                  <wp:effectExtent l="0" t="0" r="7620" b="3810"/>
                  <wp:docPr id="17381816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8777E00">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(d) Simulated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vs observed infiltration rate, Minipe D47</w:t>
            </w:r>
          </w:p>
        </w:tc>
      </w:tr>
      <w:tr w14:paraId="7FA8FEAB">
        <w:tblPrEx>
          <w:tblCellMar>
            <w:top w:w="0" w:type="dxa"/>
            <w:left w:w="108" w:type="dxa"/>
            <w:bottom w:w="0" w:type="dxa"/>
            <w:right w:w="108" w:type="dxa"/>
          </w:tblCellMar>
        </w:tblPrEx>
        <w:tc>
          <w:tcPr>
            <w:tcW w:w="9016" w:type="dxa"/>
          </w:tcPr>
          <w:p w14:paraId="7B955DDF">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2746375"/>
                  <wp:effectExtent l="0" t="0" r="15240" b="0"/>
                  <wp:docPr id="199450808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341D584">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(e) Simulated (KOSTIAKOV's) vs observed infiltration rate, Hurulu Wewa</w:t>
            </w:r>
          </w:p>
        </w:tc>
      </w:tr>
      <w:tr w14:paraId="7A978648">
        <w:tblPrEx>
          <w:tblCellMar>
            <w:top w:w="0" w:type="dxa"/>
            <w:left w:w="108" w:type="dxa"/>
            <w:bottom w:w="0" w:type="dxa"/>
            <w:right w:w="108" w:type="dxa"/>
          </w:tblCellMar>
        </w:tblPrEx>
        <w:tc>
          <w:tcPr>
            <w:tcW w:w="9016" w:type="dxa"/>
            <w:shd w:val="clear" w:color="auto" w:fill="F1F1F1" w:themeFill="background1" w:themeFillShade="F2"/>
          </w:tcPr>
          <w:p w14:paraId="0CAC7738">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2936875"/>
                  <wp:effectExtent l="0" t="0" r="7620" b="10795"/>
                  <wp:docPr id="37044147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3EBDD5A">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(f) Simulated (HORTON's) vs observed infiltration rate, Hurulu Wewa</w:t>
            </w:r>
          </w:p>
        </w:tc>
      </w:tr>
      <w:tr w14:paraId="423EACD1">
        <w:tblPrEx>
          <w:tblCellMar>
            <w:top w:w="0" w:type="dxa"/>
            <w:left w:w="108" w:type="dxa"/>
            <w:bottom w:w="0" w:type="dxa"/>
            <w:right w:w="108" w:type="dxa"/>
          </w:tblCellMar>
        </w:tblPrEx>
        <w:tc>
          <w:tcPr>
            <w:tcW w:w="9016" w:type="dxa"/>
          </w:tcPr>
          <w:p w14:paraId="268F10EA">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2932430"/>
                  <wp:effectExtent l="0" t="0" r="0" b="10160"/>
                  <wp:docPr id="15263035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12E8F5D">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(g) Simulated (PHILIP's) vs observed infiltration rate, Hurulu Wewa</w:t>
            </w:r>
          </w:p>
        </w:tc>
      </w:tr>
      <w:tr w14:paraId="64BDD017">
        <w:tc>
          <w:tcPr>
            <w:tcW w:w="9016" w:type="dxa"/>
            <w:shd w:val="clear" w:color="auto" w:fill="F1F1F1" w:themeFill="background1" w:themeFillShade="F2"/>
          </w:tcPr>
          <w:p w14:paraId="6CBFD0A6">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3042285"/>
                  <wp:effectExtent l="0" t="0" r="11430" b="2540"/>
                  <wp:docPr id="212633020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1AF7F92">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(h) Simulated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vs observed infiltration rate, Hurulu Wewa</w:t>
            </w:r>
          </w:p>
        </w:tc>
      </w:tr>
      <w:tr w14:paraId="48F9C3A7">
        <w:tblPrEx>
          <w:tblCellMar>
            <w:top w:w="0" w:type="dxa"/>
            <w:left w:w="108" w:type="dxa"/>
            <w:bottom w:w="0" w:type="dxa"/>
            <w:right w:w="108" w:type="dxa"/>
          </w:tblCellMar>
        </w:tblPrEx>
        <w:tc>
          <w:tcPr>
            <w:tcW w:w="9016" w:type="dxa"/>
          </w:tcPr>
          <w:p w14:paraId="60E4EA34">
            <w:pPr>
              <w:spacing w:after="0" w:line="240" w:lineRule="auto"/>
              <w:jc w:val="both"/>
              <w:rPr>
                <w:rFonts w:hint="default" w:ascii="Times New Roman" w:hAnsi="Times New Roman" w:cs="Times New Roman"/>
                <w:b/>
                <w:bCs w:val="0"/>
                <w:color w:val="auto"/>
                <w:sz w:val="24"/>
                <w:szCs w:val="24"/>
                <w:highlight w:val="none"/>
              </w:rPr>
            </w:pPr>
          </w:p>
        </w:tc>
      </w:tr>
      <w:tr w14:paraId="44A12E7E">
        <w:tblPrEx>
          <w:tblCellMar>
            <w:top w:w="0" w:type="dxa"/>
            <w:left w:w="108" w:type="dxa"/>
            <w:bottom w:w="0" w:type="dxa"/>
            <w:right w:w="108" w:type="dxa"/>
          </w:tblCellMar>
        </w:tblPrEx>
        <w:tc>
          <w:tcPr>
            <w:tcW w:w="9016" w:type="dxa"/>
            <w:shd w:val="clear" w:color="auto" w:fill="F1F1F1" w:themeFill="background1" w:themeFillShade="F2"/>
          </w:tcPr>
          <w:p w14:paraId="30D3B3B0">
            <w:pPr>
              <w:spacing w:after="0" w:line="240" w:lineRule="auto"/>
              <w:jc w:val="both"/>
              <w:rPr>
                <w:rFonts w:hint="default" w:ascii="Times New Roman" w:hAnsi="Times New Roman" w:cs="Times New Roman"/>
                <w:b/>
                <w:bCs w:val="0"/>
                <w:color w:val="auto"/>
                <w:sz w:val="24"/>
                <w:szCs w:val="24"/>
                <w:highlight w:val="none"/>
              </w:rPr>
            </w:pPr>
          </w:p>
        </w:tc>
      </w:tr>
      <w:tr w14:paraId="619F66CC">
        <w:tblPrEx>
          <w:tblCellMar>
            <w:top w:w="0" w:type="dxa"/>
            <w:left w:w="108" w:type="dxa"/>
            <w:bottom w:w="0" w:type="dxa"/>
            <w:right w:w="108" w:type="dxa"/>
          </w:tblCellMar>
        </w:tblPrEx>
        <w:tc>
          <w:tcPr>
            <w:tcW w:w="9016" w:type="dxa"/>
          </w:tcPr>
          <w:p w14:paraId="76818384">
            <w:pPr>
              <w:spacing w:after="0" w:line="240" w:lineRule="auto"/>
              <w:jc w:val="both"/>
              <w:rPr>
                <w:rFonts w:hint="default" w:ascii="Times New Roman" w:hAnsi="Times New Roman" w:cs="Times New Roman"/>
                <w:b w:val="0"/>
                <w:bCs w:val="0"/>
                <w:color w:val="auto"/>
                <w:highlight w:val="none"/>
              </w:rPr>
            </w:pPr>
          </w:p>
        </w:tc>
      </w:tr>
      <w:tr w14:paraId="5C1FDBFF">
        <w:tc>
          <w:tcPr>
            <w:tcW w:w="9016" w:type="dxa"/>
            <w:shd w:val="clear" w:color="auto" w:fill="F1F1F1" w:themeFill="background1" w:themeFillShade="F2"/>
          </w:tcPr>
          <w:p w14:paraId="3B378616">
            <w:pPr>
              <w:spacing w:after="0" w:line="240" w:lineRule="auto"/>
              <w:jc w:val="both"/>
              <w:rPr>
                <w:rFonts w:hint="default" w:ascii="Times New Roman" w:hAnsi="Times New Roman" w:cs="Times New Roman"/>
                <w:b w:val="0"/>
                <w:bCs w:val="0"/>
                <w:color w:val="auto"/>
                <w:highlight w:val="none"/>
              </w:rPr>
            </w:pPr>
          </w:p>
        </w:tc>
      </w:tr>
      <w:tr w14:paraId="7C57ECDC">
        <w:tblPrEx>
          <w:tblCellMar>
            <w:top w:w="0" w:type="dxa"/>
            <w:left w:w="108" w:type="dxa"/>
            <w:bottom w:w="0" w:type="dxa"/>
            <w:right w:w="108" w:type="dxa"/>
          </w:tblCellMar>
        </w:tblPrEx>
        <w:tc>
          <w:tcPr>
            <w:tcW w:w="9016" w:type="dxa"/>
          </w:tcPr>
          <w:p w14:paraId="44E5AD37">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2931795"/>
                  <wp:effectExtent l="0" t="0" r="17780" b="15240"/>
                  <wp:docPr id="34416517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31C3632">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(i) Simulated (KOSTIAKOV's) vs observed infiltration rate, Maduru Oya PDA</w:t>
            </w:r>
          </w:p>
        </w:tc>
      </w:tr>
      <w:tr w14:paraId="388A98E2">
        <w:tblPrEx>
          <w:tblCellMar>
            <w:top w:w="0" w:type="dxa"/>
            <w:left w:w="108" w:type="dxa"/>
            <w:bottom w:w="0" w:type="dxa"/>
            <w:right w:w="108" w:type="dxa"/>
          </w:tblCellMar>
        </w:tblPrEx>
        <w:tc>
          <w:tcPr>
            <w:tcW w:w="9016" w:type="dxa"/>
            <w:shd w:val="clear" w:color="auto" w:fill="F1F1F1" w:themeFill="background1" w:themeFillShade="F2"/>
          </w:tcPr>
          <w:p w14:paraId="4E08A893">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3127375"/>
                  <wp:effectExtent l="0" t="0" r="13970" b="1905"/>
                  <wp:docPr id="13094490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9B3F9FF">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(j) Simulated (HORTON's) vs observed infiltration rate, Maduru Oya PDA</w:t>
            </w:r>
          </w:p>
        </w:tc>
      </w:tr>
      <w:tr w14:paraId="3AEC4B80">
        <w:tblPrEx>
          <w:tblCellMar>
            <w:top w:w="0" w:type="dxa"/>
            <w:left w:w="108" w:type="dxa"/>
            <w:bottom w:w="0" w:type="dxa"/>
            <w:right w:w="108" w:type="dxa"/>
          </w:tblCellMar>
        </w:tblPrEx>
        <w:tc>
          <w:tcPr>
            <w:tcW w:w="9016" w:type="dxa"/>
          </w:tcPr>
          <w:p w14:paraId="25B698CB">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3151505"/>
                  <wp:effectExtent l="0" t="0" r="4445" b="17780"/>
                  <wp:docPr id="85562835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8658D59">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(k) Simulated (PHILIP's) vs observed infiltration rate, Maduru Oya PDA</w:t>
            </w:r>
          </w:p>
        </w:tc>
      </w:tr>
      <w:tr w14:paraId="542D992A">
        <w:tc>
          <w:tcPr>
            <w:tcW w:w="9016" w:type="dxa"/>
            <w:shd w:val="clear" w:color="auto" w:fill="F1F1F1" w:themeFill="background1" w:themeFillShade="F2"/>
          </w:tcPr>
          <w:p w14:paraId="32F796FE">
            <w:pPr>
              <w:spacing w:after="0" w:line="240" w:lineRule="auto"/>
              <w:jc w:val="both"/>
              <w:rPr>
                <w:rFonts w:hint="default" w:ascii="Times New Roman" w:hAnsi="Times New Roman" w:cs="Times New Roman"/>
                <w:b w:val="0"/>
                <w:bCs w:val="0"/>
                <w:color w:val="auto"/>
                <w:highlight w:val="none"/>
              </w:rPr>
            </w:pPr>
            <w:r>
              <w:rPr>
                <w:rFonts w:hint="default" w:ascii="Times New Roman" w:hAnsi="Times New Roman" w:cs="Times New Roman"/>
                <w:b/>
                <w:bCs/>
                <w:color w:val="auto"/>
                <w:highlight w:val="none"/>
              </w:rPr>
              <w:drawing>
                <wp:inline distT="0" distB="0" distL="114300" distR="114300">
                  <wp:extent cx="5471795" cy="2921000"/>
                  <wp:effectExtent l="0" t="0" r="14605" b="1905"/>
                  <wp:docPr id="68957158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200CFB7">
            <w:pPr>
              <w:spacing w:after="40" w:line="200" w:lineRule="auto"/>
              <w:jc w:val="center"/>
              <w:rPr>
                <w:rFonts w:hint="default" w:ascii="Times New Roman" w:hAnsi="Times New Roman" w:cs="Times New Roman"/>
                <w:b w:val="0"/>
                <w:bCs w:val="0"/>
                <w:color w:val="auto"/>
                <w:sz w:val="12"/>
                <w:szCs w:val="12"/>
                <w:highlight w:val="none"/>
              </w:rPr>
            </w:pPr>
            <w:r>
              <w:rPr>
                <w:rFonts w:hint="default" w:ascii="Times New Roman" w:hAnsi="Times New Roman" w:cs="Times New Roman"/>
                <w:b/>
                <w:bCs/>
                <w:color w:val="auto"/>
                <w:sz w:val="12"/>
                <w:szCs w:val="12"/>
                <w:highlight w:val="none"/>
              </w:rPr>
              <w:t>(l) Simulated (</w:t>
            </w:r>
            <w:r>
              <w:rPr>
                <w:rFonts w:hint="default" w:ascii="Times New Roman" w:hAnsi="Times New Roman" w:cs="Times New Roman"/>
                <w:b/>
                <w:bCs/>
                <w:color w:val="auto"/>
                <w:sz w:val="12"/>
                <w:szCs w:val="12"/>
                <w:highlight w:val="none"/>
                <w:lang w:eastAsia="zh-CN"/>
              </w:rPr>
              <w:t>GREEN-AMPT</w:t>
            </w:r>
            <w:r>
              <w:rPr>
                <w:rFonts w:hint="default" w:ascii="Times New Roman" w:hAnsi="Times New Roman" w:cs="Times New Roman"/>
                <w:b/>
                <w:bCs/>
                <w:color w:val="auto"/>
                <w:sz w:val="12"/>
                <w:szCs w:val="12"/>
                <w:highlight w:val="none"/>
              </w:rPr>
              <w:t>'s) vs observed infiltration rate, Maduru Oya PDA</w:t>
            </w:r>
          </w:p>
        </w:tc>
      </w:tr>
    </w:tbl>
    <w:p w14:paraId="41836852">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Fig. 6  Simulated versus observed infiltration rates for Minipe D47, Hurulu Wewa, and Maduru Oya PDA</w:t>
      </w:r>
    </w:p>
    <w:p w14:paraId="65D86D8D">
      <w:pPr>
        <w:pStyle w:val="2"/>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 xml:space="preserve">图6 </w:t>
      </w:r>
      <w:r>
        <w:rPr>
          <w:rFonts w:hint="default"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eastAsia="宋体" w:cs="Times New Roman"/>
          <w:b/>
          <w:bCs/>
          <w:color w:val="auto"/>
          <w:sz w:val="18"/>
          <w:szCs w:val="18"/>
          <w:highlight w:val="none"/>
        </w:rPr>
        <w:t>Minipe D47、Hurulu-Wewa和Maduru-Oya PDA的模拟渗透速率与观测渗透速率</w:t>
      </w:r>
    </w:p>
    <w:p w14:paraId="6945F956">
      <w:pPr>
        <w:spacing w:after="0" w:line="360" w:lineRule="auto"/>
        <w:jc w:val="both"/>
        <w:rPr>
          <w:rFonts w:hint="default" w:ascii="Times New Roman" w:hAnsi="Times New Roman" w:cs="Times New Roman"/>
          <w:color w:val="auto"/>
          <w:sz w:val="24"/>
          <w:szCs w:val="24"/>
          <w:highlight w:val="none"/>
        </w:rPr>
      </w:pPr>
    </w:p>
    <w:p w14:paraId="63251D46">
      <w:pPr>
        <w:spacing w:after="0" w:line="360" w:lineRule="auto"/>
        <w:ind w:left="720" w:hanging="360"/>
        <w:jc w:val="both"/>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4.</w:t>
      </w:r>
      <w:r>
        <w:rPr>
          <w:rFonts w:hint="default" w:ascii="Times New Roman" w:hAnsi="Times New Roman" w:cs="Times New Roman"/>
          <w:b/>
          <w:bCs/>
          <w:color w:val="auto"/>
          <w:sz w:val="24"/>
          <w:szCs w:val="24"/>
          <w:highlight w:val="none"/>
        </w:rPr>
        <w:tab/>
      </w:r>
      <w:r>
        <w:rPr>
          <w:rFonts w:hint="default" w:ascii="Times New Roman" w:hAnsi="Times New Roman" w:cs="Times New Roman"/>
          <w:b/>
          <w:bCs/>
          <w:color w:val="auto"/>
          <w:sz w:val="24"/>
          <w:szCs w:val="24"/>
          <w:highlight w:val="none"/>
        </w:rPr>
        <w:t>Conclusions</w:t>
      </w:r>
    </w:p>
    <w:p w14:paraId="4DD168AA">
      <w:pPr>
        <w:spacing w:after="0"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shd w:val="clear" w:color="auto" w:fill="FFFFFF"/>
        </w:rPr>
        <w:t xml:space="preserve">Infiltration is a crucial component of the hydrologic cycle, and various models have been developed to quantify it. This study evaluated the site-specific performance of the </w:t>
      </w:r>
      <w:r>
        <w:rPr>
          <w:rFonts w:hint="default" w:ascii="Times New Roman" w:hAnsi="Times New Roman" w:cs="Times New Roman"/>
          <w:color w:val="auto"/>
          <w:sz w:val="21"/>
          <w:szCs w:val="21"/>
          <w:highlight w:val="none"/>
          <w:shd w:val="clear" w:color="auto" w:fill="FFFFFF"/>
          <w:lang w:eastAsia="zh-CN"/>
        </w:rPr>
        <w:t>GREEN-AMPT</w:t>
      </w:r>
      <w:r>
        <w:rPr>
          <w:rFonts w:hint="default" w:ascii="Times New Roman" w:hAnsi="Times New Roman" w:cs="Times New Roman"/>
          <w:color w:val="auto"/>
          <w:sz w:val="21"/>
          <w:szCs w:val="21"/>
          <w:highlight w:val="none"/>
          <w:shd w:val="clear" w:color="auto" w:fill="FFFFFF"/>
        </w:rPr>
        <w:t xml:space="preserve">, KOSTIAKOV, HORTON and PHILIP models across three major Sri Lankan paddy irrigation schemes, Minipe D47, Hurulu Wewa and Maduru Oya, using infiltrated-depth data measured at 61 farm-lot points in predominantly clay-textured soils and aggregated to 23 canal reaches. The two physically based models clearly outperformed the empirical and semi-empirical formulations: </w:t>
      </w:r>
      <w:r>
        <w:rPr>
          <w:rFonts w:hint="default" w:ascii="Times New Roman" w:hAnsi="Times New Roman" w:cs="Times New Roman"/>
          <w:color w:val="auto"/>
          <w:sz w:val="21"/>
          <w:szCs w:val="21"/>
          <w:highlight w:val="none"/>
          <w:shd w:val="clear" w:color="auto" w:fill="FFFFFF"/>
          <w:lang w:eastAsia="zh-CN"/>
        </w:rPr>
        <w:t>GREEN-AMPT</w:t>
      </w:r>
      <w:r>
        <w:rPr>
          <w:rFonts w:hint="default" w:ascii="Times New Roman" w:hAnsi="Times New Roman" w:cs="Times New Roman"/>
          <w:color w:val="auto"/>
          <w:sz w:val="21"/>
          <w:szCs w:val="21"/>
          <w:highlight w:val="none"/>
          <w:shd w:val="clear" w:color="auto" w:fill="FFFFFF"/>
        </w:rPr>
        <w:t xml:space="preserve"> (mean </w:t>
      </w:r>
      <w:r>
        <w:rPr>
          <w:rFonts w:hint="default" w:ascii="Times New Roman" w:hAnsi="Times New Roman" w:cs="Times New Roman"/>
          <w:i/>
          <w:iCs/>
          <w:color w:val="auto"/>
          <w:sz w:val="21"/>
          <w:szCs w:val="21"/>
          <w:highlight w:val="none"/>
          <w:shd w:val="clear" w:color="auto" w:fill="FFFFFF"/>
        </w:rPr>
        <w:t>R</w:t>
      </w:r>
      <w:r>
        <w:rPr>
          <w:rFonts w:hint="default" w:ascii="Times New Roman" w:hAnsi="Times New Roman" w:cs="Times New Roman"/>
          <w:color w:val="auto"/>
          <w:sz w:val="21"/>
          <w:szCs w:val="21"/>
          <w:highlight w:val="none"/>
          <w:shd w:val="clear" w:color="auto" w:fill="FFFFFF"/>
          <w:vertAlign w:val="superscript"/>
        </w:rPr>
        <w:t xml:space="preserve">2 </w:t>
      </w:r>
      <w:r>
        <w:rPr>
          <w:rFonts w:hint="default" w:ascii="Times New Roman" w:hAnsi="Times New Roman" w:cs="Times New Roman"/>
          <w:color w:val="auto"/>
          <w:sz w:val="21"/>
          <w:szCs w:val="21"/>
          <w:highlight w:val="none"/>
          <w:shd w:val="clear" w:color="auto" w:fill="FFFFFF"/>
        </w:rPr>
        <w:t xml:space="preserve">= 0.9996, </w:t>
      </w:r>
      <w:r>
        <w:rPr>
          <w:rFonts w:hint="default" w:ascii="Times New Roman" w:hAnsi="Times New Roman" w:cs="Times New Roman"/>
          <w:i/>
          <w:iCs/>
          <w:color w:val="auto"/>
          <w:sz w:val="21"/>
          <w:szCs w:val="21"/>
          <w:highlight w:val="none"/>
          <w:shd w:val="clear" w:color="auto" w:fill="FFFFFF"/>
        </w:rPr>
        <w:t>RMSE</w:t>
      </w:r>
      <w:r>
        <w:rPr>
          <w:rFonts w:hint="default" w:ascii="Times New Roman" w:hAnsi="Times New Roman" w:cs="Times New Roman"/>
          <w:color w:val="auto"/>
          <w:sz w:val="21"/>
          <w:szCs w:val="21"/>
          <w:highlight w:val="none"/>
          <w:shd w:val="clear" w:color="auto" w:fill="FFFFFF"/>
        </w:rPr>
        <w:t xml:space="preserve"> = 0.0013 cm/h, </w:t>
      </w:r>
      <w:r>
        <w:rPr>
          <w:rFonts w:hint="default" w:ascii="Times New Roman" w:hAnsi="Times New Roman" w:cs="Times New Roman"/>
          <w:i/>
          <w:iCs/>
          <w:color w:val="auto"/>
          <w:sz w:val="21"/>
          <w:szCs w:val="21"/>
          <w:highlight w:val="none"/>
          <w:shd w:val="clear" w:color="auto" w:fill="FFFFFF"/>
        </w:rPr>
        <w:t>NSE</w:t>
      </w:r>
      <w:r>
        <w:rPr>
          <w:rFonts w:hint="default" w:ascii="Times New Roman" w:hAnsi="Times New Roman" w:cs="Times New Roman"/>
          <w:color w:val="auto"/>
          <w:sz w:val="21"/>
          <w:szCs w:val="21"/>
          <w:highlight w:val="none"/>
          <w:shd w:val="clear" w:color="auto" w:fill="FFFFFF"/>
        </w:rPr>
        <w:t xml:space="preserve"> = 0.9995) and PHILIP (mean </w:t>
      </w:r>
      <w:r>
        <w:rPr>
          <w:rFonts w:hint="default" w:ascii="Times New Roman" w:hAnsi="Times New Roman" w:cs="Times New Roman"/>
          <w:i/>
          <w:iCs/>
          <w:color w:val="auto"/>
          <w:sz w:val="21"/>
          <w:szCs w:val="21"/>
          <w:highlight w:val="none"/>
          <w:shd w:val="clear" w:color="auto" w:fill="FFFFFF"/>
        </w:rPr>
        <w:t>R</w:t>
      </w:r>
      <w:r>
        <w:rPr>
          <w:rFonts w:hint="default" w:ascii="Times New Roman" w:hAnsi="Times New Roman" w:cs="Times New Roman"/>
          <w:color w:val="auto"/>
          <w:sz w:val="21"/>
          <w:szCs w:val="21"/>
          <w:highlight w:val="none"/>
          <w:shd w:val="clear" w:color="auto" w:fill="FFFFFF"/>
          <w:vertAlign w:val="superscript"/>
        </w:rPr>
        <w:t xml:space="preserve">2 </w:t>
      </w:r>
      <w:r>
        <w:rPr>
          <w:rFonts w:hint="default" w:ascii="Times New Roman" w:hAnsi="Times New Roman" w:cs="Times New Roman"/>
          <w:color w:val="auto"/>
          <w:sz w:val="21"/>
          <w:szCs w:val="21"/>
          <w:highlight w:val="none"/>
          <w:shd w:val="clear" w:color="auto" w:fill="FFFFFF"/>
        </w:rPr>
        <w:t xml:space="preserve">= 0.9991, </w:t>
      </w:r>
      <w:r>
        <w:rPr>
          <w:rFonts w:hint="default" w:ascii="Times New Roman" w:hAnsi="Times New Roman" w:cs="Times New Roman"/>
          <w:i/>
          <w:iCs/>
          <w:color w:val="auto"/>
          <w:sz w:val="21"/>
          <w:szCs w:val="21"/>
          <w:highlight w:val="none"/>
          <w:shd w:val="clear" w:color="auto" w:fill="FFFFFF"/>
        </w:rPr>
        <w:t>RMSE</w:t>
      </w:r>
      <w:r>
        <w:rPr>
          <w:rFonts w:hint="default" w:ascii="Times New Roman" w:hAnsi="Times New Roman" w:cs="Times New Roman"/>
          <w:color w:val="auto"/>
          <w:sz w:val="21"/>
          <w:szCs w:val="21"/>
          <w:highlight w:val="none"/>
          <w:shd w:val="clear" w:color="auto" w:fill="FFFFFF"/>
        </w:rPr>
        <w:t xml:space="preserve"> = 0.0025 cm/h, </w:t>
      </w:r>
      <w:r>
        <w:rPr>
          <w:rFonts w:hint="default" w:ascii="Times New Roman" w:hAnsi="Times New Roman" w:cs="Times New Roman"/>
          <w:i/>
          <w:iCs/>
          <w:color w:val="auto"/>
          <w:sz w:val="21"/>
          <w:szCs w:val="21"/>
          <w:highlight w:val="none"/>
          <w:shd w:val="clear" w:color="auto" w:fill="FFFFFF"/>
        </w:rPr>
        <w:t>NSE</w:t>
      </w:r>
      <w:r>
        <w:rPr>
          <w:rFonts w:hint="default" w:ascii="Times New Roman" w:hAnsi="Times New Roman" w:cs="Times New Roman"/>
          <w:color w:val="auto"/>
          <w:sz w:val="21"/>
          <w:szCs w:val="21"/>
          <w:highlight w:val="none"/>
          <w:shd w:val="clear" w:color="auto" w:fill="FFFFFF"/>
        </w:rPr>
        <w:t xml:space="preserve"> = 0.9971) were statistically indistinguishable from one another, while KOSTIAKOV and HORTON ranked third and fourth respectively. PHILIP's model is recommended for practical use in generating infiltration parameters for irrigation scheme design and irrigation scheduling, because its parameters S and </w:t>
      </w:r>
      <w:r>
        <w:rPr>
          <w:rFonts w:hint="default" w:ascii="Times New Roman" w:hAnsi="Times New Roman" w:cs="Times New Roman"/>
          <w:i/>
          <w:iCs/>
          <w:color w:val="auto"/>
          <w:sz w:val="21"/>
          <w:szCs w:val="21"/>
          <w:highlight w:val="none"/>
          <w:shd w:val="clear" w:color="auto" w:fill="FFFFFF"/>
        </w:rPr>
        <w:t>K</w:t>
      </w:r>
      <w:r>
        <w:rPr>
          <w:rFonts w:hint="default" w:ascii="Times New Roman" w:hAnsi="Times New Roman" w:cs="Times New Roman"/>
          <w:color w:val="auto"/>
          <w:sz w:val="21"/>
          <w:szCs w:val="21"/>
          <w:highlight w:val="none"/>
          <w:shd w:val="clear" w:color="auto" w:fill="FFFFFF"/>
        </w:rPr>
        <w:t xml:space="preserve"> are physically interpretable and vary systematically with soil texture: sand- and gravel-bearing profiles gave a mean </w:t>
      </w:r>
      <w:r>
        <w:rPr>
          <w:rFonts w:hint="default" w:ascii="Times New Roman" w:hAnsi="Times New Roman" w:cs="Times New Roman"/>
          <w:i/>
          <w:iCs/>
          <w:color w:val="auto"/>
          <w:sz w:val="21"/>
          <w:szCs w:val="21"/>
          <w:highlight w:val="none"/>
          <w:shd w:val="clear" w:color="auto" w:fill="FFFFFF"/>
        </w:rPr>
        <w:t xml:space="preserve">K </w:t>
      </w:r>
      <w:r>
        <w:rPr>
          <w:rFonts w:hint="default" w:ascii="Times New Roman" w:hAnsi="Times New Roman" w:cs="Times New Roman"/>
          <w:color w:val="auto"/>
          <w:sz w:val="21"/>
          <w:szCs w:val="21"/>
          <w:highlight w:val="none"/>
          <w:shd w:val="clear" w:color="auto" w:fill="FFFFFF"/>
        </w:rPr>
        <w:t xml:space="preserve">of 0.223 cm/h against 0.165 cm/h for clay-dominated profiles, and both parameters correlated significantly with the measured steady infiltration rate. The measurements further showed that the characteristic gravity time </w:t>
      </w:r>
      <w:r>
        <w:rPr>
          <w:rFonts w:hint="default" w:ascii="Times New Roman" w:hAnsi="Times New Roman" w:cs="Times New Roman"/>
          <w:color w:val="auto"/>
          <w:sz w:val="21"/>
          <w:szCs w:val="21"/>
          <w:highlight w:val="none"/>
        </w:rPr>
        <w:t xml:space="preserve"> (</w:t>
      </w:r>
      <w:r>
        <w:rPr>
          <w:rFonts w:hint="default" w:ascii="Times New Roman" w:hAnsi="Times New Roman" w:cs="Times New Roman"/>
          <w:i/>
          <w:iCs/>
          <w:color w:val="auto"/>
          <w:sz w:val="21"/>
          <w:szCs w:val="21"/>
          <w:highlight w:val="none"/>
        </w:rPr>
        <w:t>S</w:t>
      </w:r>
      <w:r>
        <w:rPr>
          <w:rFonts w:hint="default" w:ascii="Times New Roman" w:hAnsi="Times New Roman" w:cs="Times New Roman"/>
          <w:color w:val="auto"/>
          <w:sz w:val="21"/>
          <w:szCs w:val="21"/>
          <w:highlight w:val="none"/>
        </w:rPr>
        <w:t>/</w:t>
      </w:r>
      <w:r>
        <w:rPr>
          <w:rFonts w:hint="default" w:ascii="Times New Roman" w:hAnsi="Times New Roman" w:cs="Times New Roman"/>
          <w:i/>
          <w:iCs/>
          <w:color w:val="auto"/>
          <w:sz w:val="21"/>
          <w:szCs w:val="21"/>
          <w:highlight w:val="none"/>
        </w:rPr>
        <w:t>K</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vertAlign w:val="superscript"/>
          <w:lang w:eastAsia="zh-CN"/>
        </w:rPr>
        <w:t xml:space="preserve"> </w:t>
      </w:r>
      <w:r>
        <w:rPr>
          <w:rFonts w:hint="default" w:ascii="Times New Roman" w:hAnsi="Times New Roman" w:cs="Times New Roman"/>
          <w:color w:val="auto"/>
          <w:sz w:val="21"/>
          <w:szCs w:val="21"/>
          <w:highlight w:val="none"/>
          <w:shd w:val="clear" w:color="auto" w:fill="FFFFFF"/>
        </w:rPr>
        <w:t>exceeded the test duration at 57% of points, indicating that infiltration in these ponded, kaolinitic, plough-pan-controlled paddy soils remains capillary-dominated over practical irrigation timescales; this offers a physical explanation for the advantage of the PHILIP formulation here, in contrast to regions where cracking smectitic soils and unsaturated upland conditions have favoured empirical models. Where measured infiltration data are unavailable, the PHILIP model can therefore be used to generate reliable infiltration information for fields dominated by clay soils, supporting improved irrigation efficiency, water resource management and conservation practice. Because model parameters were calibrated and assessed on the same curves, the performance indices reported here quantify goodness of fit rather than independent predictive skill, and validation against withheld measurements remains a priority for future work.</w:t>
      </w:r>
    </w:p>
    <w:p w14:paraId="75A928EE">
      <w:pPr>
        <w:spacing w:after="0" w:line="360" w:lineRule="auto"/>
        <w:jc w:val="both"/>
        <w:rPr>
          <w:rFonts w:hint="default" w:ascii="Times New Roman" w:hAnsi="Times New Roman" w:cs="Times New Roman"/>
          <w:color w:val="auto"/>
          <w:sz w:val="24"/>
          <w:szCs w:val="24"/>
          <w:highlight w:val="none"/>
        </w:rPr>
      </w:pPr>
    </w:p>
    <w:p w14:paraId="5217CD8A">
      <w:pPr>
        <w:spacing w:after="0"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Author Contributions: </w:t>
      </w:r>
      <w:r>
        <w:rPr>
          <w:rFonts w:hint="default" w:ascii="Times New Roman" w:hAnsi="Times New Roman" w:cs="Times New Roman"/>
          <w:color w:val="auto"/>
          <w:sz w:val="21"/>
          <w:szCs w:val="21"/>
          <w:highlight w:val="none"/>
        </w:rPr>
        <w:t>Conceptualization, M.B.G. and U.R.; methodology, H.S.S., U.S., and A.J.; software, R.S.; formal analysis, H.S.S., and U.S.; resources, U.R.; data curation, H.S.S., U.S., and A.J.; writing—original draft preparation, U.S.; writing—review and editing, H.S.S., A.J., R.S., M.B.G., and U.R.; supervision, M.B.G., and U.R.; project administration, U.R.; All authors have read and agreed to the published version of the manuscript.</w:t>
      </w:r>
    </w:p>
    <w:p w14:paraId="6CF70528">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Acknowledgment: </w:t>
      </w:r>
      <w:r>
        <w:rPr>
          <w:rFonts w:hint="default" w:ascii="Times New Roman" w:hAnsi="Times New Roman" w:cs="Times New Roman"/>
          <w:color w:val="auto"/>
          <w:sz w:val="21"/>
          <w:szCs w:val="21"/>
          <w:highlight w:val="none"/>
        </w:rPr>
        <w:t>The authors would like to sincerely thank the Mahaweli Water Security Investment Program Sri Lanka for their support in gathering data for this study.</w:t>
      </w:r>
    </w:p>
    <w:p w14:paraId="69FFB5B2">
      <w:pPr>
        <w:spacing w:after="0" w:line="360" w:lineRule="auto"/>
        <w:jc w:val="both"/>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 xml:space="preserve">Data Availability Statement: </w:t>
      </w:r>
      <w:r>
        <w:rPr>
          <w:rFonts w:hint="default" w:ascii="Times New Roman" w:hAnsi="Times New Roman" w:cs="Times New Roman"/>
          <w:color w:val="auto"/>
          <w:sz w:val="21"/>
          <w:szCs w:val="21"/>
          <w:highlight w:val="none"/>
        </w:rPr>
        <w:t>The data that support the findings of this study are available on request from the corresponding author.</w:t>
      </w:r>
    </w:p>
    <w:p w14:paraId="69BC4CDC">
      <w:pPr>
        <w:spacing w:after="0" w:line="360" w:lineRule="auto"/>
        <w:jc w:val="both"/>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Conflicts of Interest: </w:t>
      </w:r>
      <w:r>
        <w:rPr>
          <w:rFonts w:hint="default" w:ascii="Times New Roman" w:hAnsi="Times New Roman" w:cs="Times New Roman"/>
          <w:color w:val="auto"/>
          <w:sz w:val="21"/>
          <w:szCs w:val="21"/>
          <w:highlight w:val="none"/>
        </w:rPr>
        <w:t>The authors declare no conflict of interest.</w:t>
      </w:r>
    </w:p>
    <w:p w14:paraId="77DD9219">
      <w:pPr>
        <w:spacing w:after="0" w:line="360" w:lineRule="auto"/>
        <w:jc w:val="both"/>
        <w:rPr>
          <w:rFonts w:hint="default" w:ascii="Times New Roman" w:hAnsi="Times New Roman" w:cs="Times New Roman"/>
          <w:color w:val="auto"/>
          <w:sz w:val="24"/>
          <w:szCs w:val="24"/>
          <w:highlight w:val="none"/>
        </w:rPr>
      </w:pPr>
    </w:p>
    <w:p w14:paraId="0B9C4F08">
      <w:pPr>
        <w:spacing w:after="0" w:line="360" w:lineRule="auto"/>
        <w:jc w:val="both"/>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shd w:val="clear" w:color="auto" w:fill="FFFFFF"/>
        </w:rPr>
        <w:t>References</w:t>
      </w:r>
      <w:r>
        <w:rPr>
          <w:rFonts w:hint="default" w:ascii="Times New Roman" w:hAnsi="Times New Roman" w:cs="Times New Roman"/>
          <w:color w:val="auto"/>
          <w:sz w:val="24"/>
          <w:szCs w:val="24"/>
          <w:highlight w:val="none"/>
        </w:rPr>
        <w:t xml:space="preserve"> </w:t>
      </w:r>
    </w:p>
    <w:p w14:paraId="7222CFBF">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OKU E, AIYELARI A. Predictability of Philip and Kostiakov infiltration models under Inceptisols in the humid forest zone, Nigeria[J]. Kasetsart Journal (Natural Science), 2011, 45: 594-602.</w:t>
      </w:r>
    </w:p>
    <w:p w14:paraId="0DC8702A">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[2] ANGELAKI A, SAKELLARIOU-MAKRANTONAKI M, TZIMOPOULOS C. Theoretical and experimental research of cumulative infiltration[J]. Transport in Porous Media, 2013, 100</w:t>
      </w:r>
      <w:r>
        <w:rPr>
          <w:rFonts w:hint="default" w:ascii="Times New Roman" w:hAnsi="Times New Roman" w:cs="Times New Roman"/>
          <w:color w:val="auto"/>
          <w:sz w:val="15"/>
          <w:szCs w:val="15"/>
          <w:highlight w:val="none"/>
          <w:shd w:val="clear" w:color="auto" w:fill="FFCCFF"/>
        </w:rPr>
        <w:t>(2)</w:t>
      </w:r>
      <w:r>
        <w:rPr>
          <w:rFonts w:hint="default" w:ascii="Times New Roman" w:hAnsi="Times New Roman" w:cs="Times New Roman"/>
          <w:color w:val="auto"/>
          <w:sz w:val="15"/>
          <w:szCs w:val="15"/>
          <w:highlight w:val="none"/>
          <w:shd w:val="clear" w:color="auto" w:fill="FFFFFF"/>
        </w:rPr>
        <w:t>: 247-257.</w:t>
      </w:r>
      <w:r>
        <w:rPr>
          <w:rFonts w:hint="default" w:ascii="Times New Roman" w:hAnsi="Times New Roman" w:cs="Times New Roman"/>
          <w:color w:val="auto"/>
          <w:sz w:val="15"/>
          <w:szCs w:val="15"/>
          <w:highlight w:val="none"/>
        </w:rPr>
        <w:t xml:space="preserve"> </w:t>
      </w:r>
    </w:p>
    <w:p w14:paraId="185D0FE0">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[3] MBAGWU J. Testing the </w:t>
      </w:r>
      <w:r>
        <w:rPr>
          <w:rFonts w:hint="default" w:ascii="Times New Roman" w:hAnsi="Times New Roman" w:cs="Times New Roman"/>
          <w:color w:val="auto"/>
          <w:sz w:val="15"/>
          <w:szCs w:val="15"/>
          <w:highlight w:val="none"/>
          <w:shd w:val="clear" w:color="auto" w:fill="D9D9D9"/>
        </w:rPr>
        <w:t>G</w:t>
      </w:r>
      <w:r>
        <w:rPr>
          <w:rFonts w:hint="default" w:ascii="Times New Roman" w:hAnsi="Times New Roman" w:cs="Times New Roman"/>
          <w:color w:val="auto"/>
          <w:sz w:val="15"/>
          <w:szCs w:val="15"/>
          <w:highlight w:val="none"/>
          <w:shd w:val="clear" w:color="auto" w:fill="FFFFFF"/>
        </w:rPr>
        <w:t xml:space="preserve">oodness of </w:t>
      </w:r>
      <w:r>
        <w:rPr>
          <w:rFonts w:hint="default" w:ascii="Times New Roman" w:hAnsi="Times New Roman" w:cs="Times New Roman"/>
          <w:color w:val="auto"/>
          <w:sz w:val="15"/>
          <w:szCs w:val="15"/>
          <w:highlight w:val="none"/>
          <w:shd w:val="clear" w:color="auto" w:fill="D9D9D9"/>
        </w:rPr>
        <w:t>F</w:t>
      </w:r>
      <w:r>
        <w:rPr>
          <w:rFonts w:hint="default" w:ascii="Times New Roman" w:hAnsi="Times New Roman" w:cs="Times New Roman"/>
          <w:color w:val="auto"/>
          <w:sz w:val="15"/>
          <w:szCs w:val="15"/>
          <w:highlight w:val="none"/>
          <w:shd w:val="clear" w:color="auto" w:fill="FFFFFF"/>
        </w:rPr>
        <w:t xml:space="preserve">it of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elected </w:t>
      </w:r>
      <w:r>
        <w:rPr>
          <w:rFonts w:hint="default" w:ascii="Times New Roman" w:hAnsi="Times New Roman" w:cs="Times New Roman"/>
          <w:color w:val="auto"/>
          <w:sz w:val="15"/>
          <w:szCs w:val="15"/>
          <w:highlight w:val="none"/>
          <w:shd w:val="clear" w:color="auto" w:fill="D9D9D9"/>
        </w:rPr>
        <w:t>I</w:t>
      </w:r>
      <w:r>
        <w:rPr>
          <w:rFonts w:hint="default" w:ascii="Times New Roman" w:hAnsi="Times New Roman" w:cs="Times New Roman"/>
          <w:color w:val="auto"/>
          <w:sz w:val="15"/>
          <w:szCs w:val="15"/>
          <w:highlight w:val="none"/>
          <w:shd w:val="clear" w:color="auto" w:fill="FFFFFF"/>
        </w:rPr>
        <w:t xml:space="preserve">nfiltration </w:t>
      </w:r>
      <w:r>
        <w:rPr>
          <w:rFonts w:hint="default" w:ascii="Times New Roman" w:hAnsi="Times New Roman" w:cs="Times New Roman"/>
          <w:color w:val="auto"/>
          <w:sz w:val="15"/>
          <w:szCs w:val="15"/>
          <w:highlight w:val="none"/>
          <w:shd w:val="clear" w:color="auto" w:fill="D9D9D9"/>
        </w:rPr>
        <w:t>M</w:t>
      </w:r>
      <w:r>
        <w:rPr>
          <w:rFonts w:hint="default" w:ascii="Times New Roman" w:hAnsi="Times New Roman" w:cs="Times New Roman"/>
          <w:color w:val="auto"/>
          <w:sz w:val="15"/>
          <w:szCs w:val="15"/>
          <w:highlight w:val="none"/>
          <w:shd w:val="clear" w:color="auto" w:fill="FFFFFF"/>
        </w:rPr>
        <w:t xml:space="preserve">odels on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oils with </w:t>
      </w:r>
      <w:r>
        <w:rPr>
          <w:rFonts w:hint="default" w:ascii="Times New Roman" w:hAnsi="Times New Roman" w:cs="Times New Roman"/>
          <w:color w:val="auto"/>
          <w:sz w:val="15"/>
          <w:szCs w:val="15"/>
          <w:highlight w:val="none"/>
          <w:shd w:val="clear" w:color="auto" w:fill="D9D9D9"/>
        </w:rPr>
        <w:t>D</w:t>
      </w:r>
      <w:r>
        <w:rPr>
          <w:rFonts w:hint="default" w:ascii="Times New Roman" w:hAnsi="Times New Roman" w:cs="Times New Roman"/>
          <w:color w:val="auto"/>
          <w:sz w:val="15"/>
          <w:szCs w:val="15"/>
          <w:highlight w:val="none"/>
          <w:shd w:val="clear" w:color="auto" w:fill="FFFFFF"/>
        </w:rPr>
        <w:t xml:space="preserve">ifferent </w:t>
      </w:r>
      <w:r>
        <w:rPr>
          <w:rFonts w:hint="default" w:ascii="Times New Roman" w:hAnsi="Times New Roman" w:cs="Times New Roman"/>
          <w:color w:val="auto"/>
          <w:sz w:val="15"/>
          <w:szCs w:val="15"/>
          <w:highlight w:val="none"/>
          <w:shd w:val="clear" w:color="auto" w:fill="D9D9D9"/>
        </w:rPr>
        <w:t>L</w:t>
      </w:r>
      <w:r>
        <w:rPr>
          <w:rFonts w:hint="default" w:ascii="Times New Roman" w:hAnsi="Times New Roman" w:cs="Times New Roman"/>
          <w:color w:val="auto"/>
          <w:sz w:val="15"/>
          <w:szCs w:val="15"/>
          <w:highlight w:val="none"/>
          <w:shd w:val="clear" w:color="auto" w:fill="FFFFFF"/>
        </w:rPr>
        <w:t xml:space="preserve">and </w:t>
      </w:r>
      <w:r>
        <w:rPr>
          <w:rFonts w:hint="default" w:ascii="Times New Roman" w:hAnsi="Times New Roman" w:cs="Times New Roman"/>
          <w:color w:val="auto"/>
          <w:sz w:val="15"/>
          <w:szCs w:val="15"/>
          <w:highlight w:val="none"/>
          <w:shd w:val="clear" w:color="auto" w:fill="D9D9D9"/>
        </w:rPr>
        <w:t>U</w:t>
      </w:r>
      <w:r>
        <w:rPr>
          <w:rFonts w:hint="default" w:ascii="Times New Roman" w:hAnsi="Times New Roman" w:cs="Times New Roman"/>
          <w:color w:val="auto"/>
          <w:sz w:val="15"/>
          <w:szCs w:val="15"/>
          <w:highlight w:val="none"/>
          <w:shd w:val="clear" w:color="auto" w:fill="FFFFFF"/>
        </w:rPr>
        <w:t xml:space="preserve">se </w:t>
      </w:r>
      <w:r>
        <w:rPr>
          <w:rFonts w:hint="default" w:ascii="Times New Roman" w:hAnsi="Times New Roman" w:cs="Times New Roman"/>
          <w:color w:val="auto"/>
          <w:sz w:val="15"/>
          <w:szCs w:val="15"/>
          <w:highlight w:val="none"/>
          <w:shd w:val="clear" w:color="auto" w:fill="D9D9D9"/>
        </w:rPr>
        <w:t>H</w:t>
      </w:r>
      <w:r>
        <w:rPr>
          <w:rFonts w:hint="default" w:ascii="Times New Roman" w:hAnsi="Times New Roman" w:cs="Times New Roman"/>
          <w:color w:val="auto"/>
          <w:sz w:val="15"/>
          <w:szCs w:val="15"/>
          <w:highlight w:val="none"/>
          <w:shd w:val="clear" w:color="auto" w:fill="FFFFFF"/>
        </w:rPr>
        <w:t>istories[M]. Trieste: International Centre for Theoretical Physics, 1993.</w:t>
      </w:r>
    </w:p>
    <w:p w14:paraId="5FD06804">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b/>
          <w:bCs/>
          <w:color w:val="auto"/>
          <w:sz w:val="15"/>
          <w:szCs w:val="15"/>
          <w:highlight w:val="none"/>
          <w:shd w:val="clear" w:color="auto" w:fill="FFFFFF"/>
          <w:lang w:eastAsia="zh-CN"/>
        </w:rPr>
      </w:pPr>
      <w:r>
        <w:rPr>
          <w:rFonts w:hint="default" w:ascii="Times New Roman" w:hAnsi="Times New Roman" w:cs="Times New Roman"/>
          <w:b/>
          <w:bCs/>
          <w:color w:val="auto"/>
          <w:sz w:val="15"/>
          <w:szCs w:val="15"/>
          <w:highlight w:val="none"/>
        </w:rPr>
        <w:t>[4]</w:t>
      </w:r>
      <w:r>
        <w:rPr>
          <w:rFonts w:hint="default" w:ascii="Times New Roman" w:hAnsi="Times New Roman" w:cs="Times New Roman"/>
          <w:b/>
          <w:bCs/>
          <w:color w:val="auto"/>
          <w:sz w:val="15"/>
          <w:szCs w:val="15"/>
          <w:highlight w:val="none"/>
        </w:rPr>
        <w:tab/>
      </w:r>
      <w:r>
        <w:rPr>
          <w:rFonts w:hint="default" w:ascii="Times New Roman" w:hAnsi="Times New Roman" w:cs="Times New Roman"/>
          <w:color w:val="auto"/>
          <w:sz w:val="15"/>
          <w:szCs w:val="15"/>
          <w:highlight w:val="none"/>
        </w:rPr>
        <w:t>HE Pingru</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LI Jingang</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CHEN Jing</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et al</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 xml:space="preserve"> Effects of rotation irrigation with saline-freshwater on soil water</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salt dynamics</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tomato</w:t>
      </w:r>
      <w:r>
        <w:rPr>
          <w:rFonts w:hint="default" w:ascii="Times New Roman" w:hAnsi="Times New Roman" w:cs="Times New Roman" w:eastAsiaTheme="minorEastAsia"/>
          <w:color w:val="auto"/>
          <w:sz w:val="15"/>
          <w:szCs w:val="15"/>
          <w:highlight w:val="none"/>
          <w:lang w:eastAsia="zh-CN"/>
        </w:rPr>
        <w:t xml:space="preserve"> </w:t>
      </w:r>
      <w:r>
        <w:rPr>
          <w:rFonts w:hint="default" w:ascii="Times New Roman" w:hAnsi="Times New Roman" w:cs="Times New Roman"/>
          <w:color w:val="auto"/>
          <w:sz w:val="15"/>
          <w:szCs w:val="15"/>
          <w:highlight w:val="none"/>
        </w:rPr>
        <w:t>growth and quality[J]</w:t>
      </w:r>
      <w:r>
        <w:rPr>
          <w:rFonts w:hint="default" w:ascii="Times New Roman" w:hAnsi="Times New Roman" w:eastAsia="宋体"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Journal of Drainage and Irrigation Machinery Engineering</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2025</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43( 8) : 833</w:t>
      </w:r>
      <w:r>
        <w:rPr>
          <w:rFonts w:hint="default" w:ascii="Times New Roman" w:hAnsi="Times New Roman" w:cs="Times New Roman" w:eastAsiaTheme="minorEastAsia"/>
          <w:color w:val="auto"/>
          <w:sz w:val="15"/>
          <w:szCs w:val="15"/>
          <w:highlight w:val="none"/>
          <w:lang w:eastAsia="zh-CN"/>
        </w:rPr>
        <w:t>-</w:t>
      </w:r>
      <w:r>
        <w:rPr>
          <w:rFonts w:hint="default" w:ascii="Times New Roman" w:hAnsi="Times New Roman" w:cs="Times New Roman"/>
          <w:color w:val="auto"/>
          <w:sz w:val="15"/>
          <w:szCs w:val="15"/>
          <w:highlight w:val="none"/>
        </w:rPr>
        <w:t>842</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b/>
          <w:bCs/>
          <w:color w:val="auto"/>
          <w:sz w:val="15"/>
          <w:szCs w:val="15"/>
          <w:highlight w:val="none"/>
          <w:shd w:val="clear" w:color="auto" w:fill="FFFFFF"/>
          <w:lang w:eastAsia="zh-CN"/>
        </w:rPr>
        <w:t xml:space="preserve"> </w:t>
      </w:r>
    </w:p>
    <w:p w14:paraId="1DCCBA0A">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[5]</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ADENIJI F, UMARA B, DIBAL J, et al. Variation of infiltration rates with soil texture[J]. International Journal of Engineering and Innovative Technology, 2013, 3: 454-459.</w:t>
      </w:r>
    </w:p>
    <w:p w14:paraId="654AC4A1">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[6] MISHRA S</w:t>
      </w:r>
      <w:r>
        <w:rPr>
          <w:rFonts w:hint="default" w:ascii="Times New Roman" w:hAnsi="Times New Roman" w:cs="Times New Roman"/>
          <w:color w:val="auto"/>
          <w:sz w:val="15"/>
          <w:szCs w:val="15"/>
          <w:highlight w:val="none"/>
          <w:shd w:val="clear" w:color="auto" w:fill="FFCCFF"/>
        </w:rPr>
        <w:t xml:space="preserve"> K</w:t>
      </w:r>
      <w:r>
        <w:rPr>
          <w:rFonts w:hint="default" w:ascii="Times New Roman" w:hAnsi="Times New Roman" w:cs="Times New Roman"/>
          <w:color w:val="auto"/>
          <w:sz w:val="15"/>
          <w:szCs w:val="15"/>
          <w:highlight w:val="none"/>
          <w:shd w:val="clear" w:color="auto" w:fill="FFFFFF"/>
        </w:rPr>
        <w:t>, SINGH V</w:t>
      </w:r>
      <w:r>
        <w:rPr>
          <w:rFonts w:hint="default" w:ascii="Times New Roman" w:hAnsi="Times New Roman" w:cs="Times New Roman"/>
          <w:color w:val="auto"/>
          <w:sz w:val="15"/>
          <w:szCs w:val="15"/>
          <w:highlight w:val="none"/>
          <w:shd w:val="clear" w:color="auto" w:fill="FFCCFF"/>
        </w:rPr>
        <w:t xml:space="preserve"> P</w:t>
      </w:r>
      <w:r>
        <w:rPr>
          <w:rFonts w:hint="default" w:ascii="Times New Roman" w:hAnsi="Times New Roman" w:cs="Times New Roman"/>
          <w:color w:val="auto"/>
          <w:sz w:val="15"/>
          <w:szCs w:val="15"/>
          <w:highlight w:val="none"/>
          <w:shd w:val="clear" w:color="auto" w:fill="FFFFFF"/>
        </w:rPr>
        <w:t>. Another look at SCS-CN method[J]. Journal of Hydrologic Engineering, 1999, 4(3): 257-264.</w:t>
      </w:r>
    </w:p>
    <w:p w14:paraId="6EC67340">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lang w:eastAsia="zh-CN"/>
        </w:rPr>
      </w:pPr>
      <w:r>
        <w:rPr>
          <w:rFonts w:hint="default" w:ascii="Times New Roman" w:hAnsi="Times New Roman" w:cs="Times New Roman"/>
          <w:color w:val="auto"/>
          <w:sz w:val="15"/>
          <w:szCs w:val="15"/>
          <w:highlight w:val="none"/>
        </w:rPr>
        <w:t>[7]</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 xml:space="preserve">GREEN W, AMPT G. Studies on soil physics, 1: </w:t>
      </w:r>
      <w:r>
        <w:rPr>
          <w:rFonts w:hint="eastAsia" w:ascii="Times New Roman" w:hAnsi="Times New Roman" w:cs="Times New Roman"/>
          <w:color w:val="auto"/>
          <w:sz w:val="15"/>
          <w:szCs w:val="15"/>
          <w:highlight w:val="none"/>
          <w:lang w:val="en-US" w:eastAsia="zh-CN"/>
        </w:rPr>
        <w:t>T</w:t>
      </w:r>
      <w:r>
        <w:rPr>
          <w:rFonts w:hint="default" w:ascii="Times New Roman" w:hAnsi="Times New Roman" w:cs="Times New Roman"/>
          <w:color w:val="auto"/>
          <w:sz w:val="15"/>
          <w:szCs w:val="15"/>
          <w:highlight w:val="none"/>
        </w:rPr>
        <w:t>he flow of air and water through soils[J]. Soil Science Society of America Journal, 1911, 5: 339-417.</w:t>
      </w:r>
    </w:p>
    <w:p w14:paraId="1EC7229C">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[8] PHILIP J</w:t>
      </w:r>
      <w:r>
        <w:rPr>
          <w:rFonts w:hint="default" w:ascii="Times New Roman" w:hAnsi="Times New Roman" w:cs="Times New Roman"/>
          <w:color w:val="auto"/>
          <w:sz w:val="15"/>
          <w:szCs w:val="15"/>
          <w:highlight w:val="none"/>
          <w:shd w:val="clear" w:color="auto" w:fill="FFCCFF"/>
        </w:rPr>
        <w:t xml:space="preserve"> R</w:t>
      </w:r>
      <w:r>
        <w:rPr>
          <w:rFonts w:hint="default" w:ascii="Times New Roman" w:hAnsi="Times New Roman" w:cs="Times New Roman"/>
          <w:color w:val="auto"/>
          <w:sz w:val="15"/>
          <w:szCs w:val="15"/>
          <w:highlight w:val="none"/>
          <w:shd w:val="clear" w:color="auto" w:fill="FFFFFF"/>
        </w:rPr>
        <w:t xml:space="preserve">. The theory of infiltration: 2. The profile </w:t>
      </w:r>
      <w:r>
        <w:rPr>
          <w:rFonts w:hint="default" w:ascii="Times New Roman" w:hAnsi="Times New Roman" w:cs="Times New Roman"/>
          <w:color w:val="auto"/>
          <w:sz w:val="15"/>
          <w:szCs w:val="15"/>
          <w:highlight w:val="none"/>
          <w:shd w:val="clear" w:color="auto" w:fill="FFCCFF"/>
        </w:rPr>
        <w:t>of</w:t>
      </w:r>
      <w:r>
        <w:rPr>
          <w:rFonts w:hint="default" w:ascii="Times New Roman" w:hAnsi="Times New Roman" w:cs="Times New Roman"/>
          <w:color w:val="auto"/>
          <w:sz w:val="15"/>
          <w:szCs w:val="15"/>
          <w:highlight w:val="none"/>
          <w:shd w:val="clear" w:color="auto" w:fill="FFFFFF"/>
        </w:rPr>
        <w:t xml:space="preserve"> infinity[J]. Soil Science, 1957, 83</w:t>
      </w:r>
      <w:r>
        <w:rPr>
          <w:rFonts w:hint="default" w:ascii="Times New Roman" w:hAnsi="Times New Roman" w:cs="Times New Roman"/>
          <w:color w:val="auto"/>
          <w:sz w:val="15"/>
          <w:szCs w:val="15"/>
          <w:highlight w:val="none"/>
          <w:shd w:val="clear" w:color="auto" w:fill="FFCCFF"/>
        </w:rPr>
        <w:t>(6)</w:t>
      </w:r>
      <w:r>
        <w:rPr>
          <w:rFonts w:hint="default" w:ascii="Times New Roman" w:hAnsi="Times New Roman" w:cs="Times New Roman"/>
          <w:color w:val="auto"/>
          <w:sz w:val="15"/>
          <w:szCs w:val="15"/>
          <w:highlight w:val="none"/>
          <w:shd w:val="clear" w:color="auto" w:fill="FFFFFF"/>
        </w:rPr>
        <w:t>: 435-448.</w:t>
      </w:r>
    </w:p>
    <w:p w14:paraId="603766DA">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[9]</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color w:val="auto"/>
          <w:sz w:val="15"/>
          <w:szCs w:val="15"/>
          <w:highlight w:val="none"/>
          <w:shd w:val="clear" w:color="auto" w:fill="FFFFFF"/>
        </w:rPr>
        <w:t xml:space="preserve">MEIN R G, LARSON C L. </w:t>
      </w:r>
      <w:r>
        <w:rPr>
          <w:rFonts w:hint="default" w:ascii="Times New Roman" w:hAnsi="Times New Roman" w:cs="Times New Roman"/>
          <w:color w:val="auto"/>
          <w:sz w:val="15"/>
          <w:szCs w:val="15"/>
          <w:highlight w:val="none"/>
          <w:shd w:val="clear" w:color="auto" w:fill="FFCCFF"/>
        </w:rPr>
        <w:t>Modelling</w:t>
      </w:r>
      <w:r>
        <w:rPr>
          <w:rFonts w:hint="default" w:ascii="Times New Roman" w:hAnsi="Times New Roman" w:cs="Times New Roman"/>
          <w:color w:val="auto"/>
          <w:sz w:val="15"/>
          <w:szCs w:val="15"/>
          <w:highlight w:val="none"/>
          <w:shd w:val="clear" w:color="auto" w:fill="FFFFFF"/>
        </w:rPr>
        <w:t xml:space="preserve"> infiltration during a steady rain[J]. Water Resources Research, 1973, 9(2): 384-394.</w:t>
      </w:r>
    </w:p>
    <w:p w14:paraId="04FA78B7">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[10]</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color w:val="auto"/>
          <w:sz w:val="15"/>
          <w:szCs w:val="15"/>
          <w:highlight w:val="none"/>
          <w:shd w:val="clear" w:color="auto" w:fill="FFFFFF"/>
        </w:rPr>
        <w:t>SMITH R E, PARLANGE J Y. A parameter-efficient hydrologic infiltration model[J]. Water Resources Research, 1978, 14(3): 533-538.</w:t>
      </w:r>
    </w:p>
    <w:p w14:paraId="586BAE45">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[11] HORTON R</w:t>
      </w:r>
      <w:r>
        <w:rPr>
          <w:rFonts w:hint="default" w:ascii="Times New Roman" w:hAnsi="Times New Roman" w:cs="Times New Roman"/>
          <w:color w:val="auto"/>
          <w:sz w:val="15"/>
          <w:szCs w:val="15"/>
          <w:highlight w:val="none"/>
          <w:shd w:val="clear" w:color="auto" w:fill="FFCCFF"/>
        </w:rPr>
        <w:t xml:space="preserve"> E</w:t>
      </w:r>
      <w:r>
        <w:rPr>
          <w:rFonts w:hint="default" w:ascii="Times New Roman" w:hAnsi="Times New Roman" w:cs="Times New Roman"/>
          <w:color w:val="auto"/>
          <w:sz w:val="15"/>
          <w:szCs w:val="15"/>
          <w:highlight w:val="none"/>
          <w:shd w:val="clear" w:color="auto" w:fill="FFFFFF"/>
        </w:rPr>
        <w:t xml:space="preserve">. </w:t>
      </w:r>
      <w:r>
        <w:rPr>
          <w:rFonts w:hint="default" w:ascii="Times New Roman" w:hAnsi="Times New Roman" w:cs="Times New Roman"/>
          <w:color w:val="auto"/>
          <w:sz w:val="15"/>
          <w:szCs w:val="15"/>
          <w:highlight w:val="none"/>
          <w:shd w:val="clear" w:color="auto" w:fill="FFCCFF"/>
        </w:rPr>
        <w:t xml:space="preserve">An </w:t>
      </w:r>
      <w:r>
        <w:rPr>
          <w:rFonts w:hint="default" w:ascii="Times New Roman" w:hAnsi="Times New Roman" w:cs="Times New Roman"/>
          <w:color w:val="auto"/>
          <w:sz w:val="15"/>
          <w:szCs w:val="15"/>
          <w:highlight w:val="none"/>
          <w:shd w:val="clear" w:color="auto" w:fill="D9D9D9"/>
        </w:rPr>
        <w:t>a</w:t>
      </w:r>
      <w:r>
        <w:rPr>
          <w:rFonts w:hint="default" w:ascii="Times New Roman" w:hAnsi="Times New Roman" w:cs="Times New Roman"/>
          <w:color w:val="auto"/>
          <w:sz w:val="15"/>
          <w:szCs w:val="15"/>
          <w:highlight w:val="none"/>
          <w:shd w:val="clear" w:color="auto" w:fill="FFFFFF"/>
        </w:rPr>
        <w:t>pproach toward a physical interpretation of infiltration</w:t>
      </w:r>
      <w:r>
        <w:rPr>
          <w:rFonts w:hint="default" w:ascii="Times New Roman" w:hAnsi="Times New Roman" w:cs="Times New Roman"/>
          <w:color w:val="auto"/>
          <w:sz w:val="15"/>
          <w:szCs w:val="15"/>
          <w:highlight w:val="none"/>
          <w:shd w:val="clear" w:color="auto" w:fill="FFCCFF"/>
        </w:rPr>
        <w:t>-</w:t>
      </w:r>
      <w:r>
        <w:rPr>
          <w:rFonts w:hint="default" w:ascii="Times New Roman" w:hAnsi="Times New Roman" w:cs="Times New Roman"/>
          <w:color w:val="auto"/>
          <w:sz w:val="15"/>
          <w:szCs w:val="15"/>
          <w:highlight w:val="none"/>
          <w:shd w:val="clear" w:color="auto" w:fill="FFFFFF"/>
        </w:rPr>
        <w:t xml:space="preserve">capacity[J]. Soil Science Society of America Journal, </w:t>
      </w:r>
      <w:r>
        <w:rPr>
          <w:rFonts w:hint="default" w:ascii="Times New Roman" w:hAnsi="Times New Roman" w:cs="Times New Roman"/>
          <w:color w:val="auto"/>
          <w:sz w:val="15"/>
          <w:szCs w:val="15"/>
          <w:highlight w:val="none"/>
          <w:shd w:val="clear" w:color="auto" w:fill="FFCCFF"/>
        </w:rPr>
        <w:t>1941</w:t>
      </w:r>
      <w:r>
        <w:rPr>
          <w:rFonts w:hint="default" w:ascii="Times New Roman" w:hAnsi="Times New Roman" w:cs="Times New Roman"/>
          <w:color w:val="auto"/>
          <w:sz w:val="15"/>
          <w:szCs w:val="15"/>
          <w:highlight w:val="none"/>
          <w:shd w:val="clear" w:color="auto" w:fill="FFFFFF"/>
        </w:rPr>
        <w:t xml:space="preserve">, 5: </w:t>
      </w:r>
      <w:r>
        <w:rPr>
          <w:rFonts w:hint="default" w:ascii="Times New Roman" w:hAnsi="Times New Roman" w:cs="Times New Roman"/>
          <w:color w:val="auto"/>
          <w:sz w:val="15"/>
          <w:szCs w:val="15"/>
          <w:highlight w:val="none"/>
          <w:shd w:val="clear" w:color="auto" w:fill="FFCCFF"/>
        </w:rPr>
        <w:t>399</w:t>
      </w:r>
      <w:r>
        <w:rPr>
          <w:rFonts w:hint="default" w:ascii="Times New Roman" w:hAnsi="Times New Roman" w:cs="Times New Roman"/>
          <w:color w:val="auto"/>
          <w:sz w:val="15"/>
          <w:szCs w:val="15"/>
          <w:highlight w:val="none"/>
          <w:shd w:val="clear" w:color="auto" w:fill="FFFFFF"/>
        </w:rPr>
        <w:t>-417.</w:t>
      </w:r>
    </w:p>
    <w:p w14:paraId="2BD8016A">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[12] HOLTAN H N. A </w:t>
      </w:r>
      <w:r>
        <w:rPr>
          <w:rFonts w:hint="default" w:ascii="Times New Roman" w:hAnsi="Times New Roman" w:cs="Times New Roman"/>
          <w:color w:val="auto"/>
          <w:sz w:val="15"/>
          <w:szCs w:val="15"/>
          <w:highlight w:val="none"/>
          <w:shd w:val="clear" w:color="auto" w:fill="D9D9D9"/>
        </w:rPr>
        <w:t>C</w:t>
      </w:r>
      <w:r>
        <w:rPr>
          <w:rFonts w:hint="default" w:ascii="Times New Roman" w:hAnsi="Times New Roman" w:cs="Times New Roman"/>
          <w:color w:val="auto"/>
          <w:sz w:val="15"/>
          <w:szCs w:val="15"/>
          <w:highlight w:val="none"/>
          <w:shd w:val="clear" w:color="auto" w:fill="FFFFFF"/>
        </w:rPr>
        <w:t xml:space="preserve">oncept for </w:t>
      </w:r>
      <w:r>
        <w:rPr>
          <w:rFonts w:hint="default" w:ascii="Times New Roman" w:hAnsi="Times New Roman" w:cs="Times New Roman"/>
          <w:color w:val="auto"/>
          <w:sz w:val="15"/>
          <w:szCs w:val="15"/>
          <w:highlight w:val="none"/>
          <w:shd w:val="clear" w:color="auto" w:fill="D9D9D9"/>
        </w:rPr>
        <w:t>I</w:t>
      </w:r>
      <w:r>
        <w:rPr>
          <w:rFonts w:hint="default" w:ascii="Times New Roman" w:hAnsi="Times New Roman" w:cs="Times New Roman"/>
          <w:color w:val="auto"/>
          <w:sz w:val="15"/>
          <w:szCs w:val="15"/>
          <w:highlight w:val="none"/>
          <w:shd w:val="clear" w:color="auto" w:fill="FFFFFF"/>
        </w:rPr>
        <w:t xml:space="preserve">nfiltration </w:t>
      </w:r>
      <w:r>
        <w:rPr>
          <w:rFonts w:hint="default" w:ascii="Times New Roman" w:hAnsi="Times New Roman" w:cs="Times New Roman"/>
          <w:color w:val="auto"/>
          <w:sz w:val="15"/>
          <w:szCs w:val="15"/>
          <w:highlight w:val="none"/>
          <w:shd w:val="clear" w:color="auto" w:fill="D9D9D9"/>
        </w:rPr>
        <w:t>E</w:t>
      </w:r>
      <w:r>
        <w:rPr>
          <w:rFonts w:hint="default" w:ascii="Times New Roman" w:hAnsi="Times New Roman" w:cs="Times New Roman"/>
          <w:color w:val="auto"/>
          <w:sz w:val="15"/>
          <w:szCs w:val="15"/>
          <w:highlight w:val="none"/>
          <w:shd w:val="clear" w:color="auto" w:fill="FFFFFF"/>
        </w:rPr>
        <w:t xml:space="preserve">stimates in </w:t>
      </w:r>
      <w:r>
        <w:rPr>
          <w:rFonts w:hint="default" w:ascii="Times New Roman" w:hAnsi="Times New Roman" w:cs="Times New Roman"/>
          <w:color w:val="auto"/>
          <w:sz w:val="15"/>
          <w:szCs w:val="15"/>
          <w:highlight w:val="none"/>
          <w:shd w:val="clear" w:color="auto" w:fill="D9D9D9"/>
        </w:rPr>
        <w:t>W</w:t>
      </w:r>
      <w:r>
        <w:rPr>
          <w:rFonts w:hint="default" w:ascii="Times New Roman" w:hAnsi="Times New Roman" w:cs="Times New Roman"/>
          <w:color w:val="auto"/>
          <w:sz w:val="15"/>
          <w:szCs w:val="15"/>
          <w:highlight w:val="none"/>
          <w:shd w:val="clear" w:color="auto" w:fill="FFFFFF"/>
        </w:rPr>
        <w:t xml:space="preserve">atershed </w:t>
      </w:r>
      <w:r>
        <w:rPr>
          <w:rFonts w:hint="default" w:ascii="Times New Roman" w:hAnsi="Times New Roman" w:cs="Times New Roman"/>
          <w:color w:val="auto"/>
          <w:sz w:val="15"/>
          <w:szCs w:val="15"/>
          <w:highlight w:val="none"/>
          <w:shd w:val="clear" w:color="auto" w:fill="D9D9D9"/>
        </w:rPr>
        <w:t>E</w:t>
      </w:r>
      <w:r>
        <w:rPr>
          <w:rFonts w:hint="default" w:ascii="Times New Roman" w:hAnsi="Times New Roman" w:cs="Times New Roman"/>
          <w:color w:val="auto"/>
          <w:sz w:val="15"/>
          <w:szCs w:val="15"/>
          <w:highlight w:val="none"/>
          <w:shd w:val="clear" w:color="auto" w:fill="FFFFFF"/>
        </w:rPr>
        <w:t>ngineering[M].</w:t>
      </w:r>
      <w:r>
        <w:rPr>
          <w:rFonts w:hint="default" w:ascii="Times New Roman" w:hAnsi="Times New Roman" w:cs="Times New Roman"/>
          <w:color w:val="auto"/>
          <w:sz w:val="15"/>
          <w:szCs w:val="15"/>
          <w:highlight w:val="none"/>
          <w:shd w:val="clear" w:color="auto" w:fill="FFCCFF"/>
        </w:rPr>
        <w:t xml:space="preserve"> Washington:</w:t>
      </w:r>
      <w:r>
        <w:rPr>
          <w:rFonts w:hint="default" w:ascii="Times New Roman" w:hAnsi="Times New Roman" w:cs="Times New Roman"/>
          <w:color w:val="auto"/>
          <w:sz w:val="15"/>
          <w:szCs w:val="15"/>
          <w:highlight w:val="none"/>
          <w:shd w:val="clear" w:color="auto" w:fill="FFFFFF"/>
        </w:rPr>
        <w:t xml:space="preserve"> </w:t>
      </w:r>
      <w:r>
        <w:rPr>
          <w:rFonts w:hint="default" w:ascii="Times New Roman" w:hAnsi="Times New Roman" w:cs="Times New Roman"/>
          <w:color w:val="auto"/>
          <w:sz w:val="15"/>
          <w:szCs w:val="15"/>
          <w:highlight w:val="none"/>
          <w:shd w:val="clear" w:color="auto" w:fill="D9D9D9"/>
        </w:rPr>
        <w:t>United States Department of Agriculture, Agricultural Research Service</w:t>
      </w:r>
      <w:r>
        <w:rPr>
          <w:rFonts w:hint="default" w:ascii="Times New Roman" w:hAnsi="Times New Roman" w:cs="Times New Roman"/>
          <w:color w:val="auto"/>
          <w:sz w:val="15"/>
          <w:szCs w:val="15"/>
          <w:highlight w:val="none"/>
          <w:shd w:val="clear" w:color="auto" w:fill="FFFFFF"/>
        </w:rPr>
        <w:t>, 1961.</w:t>
      </w:r>
    </w:p>
    <w:p w14:paraId="5AD9D33F">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lang w:eastAsia="zh-CN"/>
        </w:rPr>
      </w:pPr>
      <w:r>
        <w:rPr>
          <w:rFonts w:hint="default" w:ascii="Times New Roman" w:hAnsi="Times New Roman" w:cs="Times New Roman"/>
          <w:color w:val="auto"/>
          <w:sz w:val="15"/>
          <w:szCs w:val="15"/>
          <w:highlight w:val="none"/>
        </w:rPr>
        <w:t>[13]</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SINGH V P, YU F X. Interrelations between the SCS curve number and hydrologic variables[J]. Advances in Water Resources, 1990, 13(1): 36-45.</w:t>
      </w:r>
    </w:p>
    <w:p w14:paraId="56B75F76">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[14]</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color w:val="auto"/>
          <w:sz w:val="15"/>
          <w:szCs w:val="15"/>
          <w:highlight w:val="none"/>
          <w:shd w:val="clear" w:color="auto" w:fill="FFFFFF"/>
        </w:rPr>
        <w:t>GRIGORJEV V Y, IRITZ L. Dynamic simulation model of vertical infiltration of water in soil[J]. Hydrological Sciences Journal, 1991, 36(2): 171-179.</w:t>
      </w:r>
    </w:p>
    <w:p w14:paraId="2922E7B3">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color w:val="auto"/>
          <w:sz w:val="15"/>
          <w:szCs w:val="15"/>
          <w:highlight w:val="none"/>
        </w:rPr>
      </w:pPr>
      <w:r>
        <w:rPr>
          <w:rFonts w:hint="default" w:ascii="Times New Roman" w:hAnsi="Times New Roman" w:cs="Times New Roman"/>
          <w:color w:val="auto"/>
          <w:sz w:val="15"/>
          <w:szCs w:val="15"/>
          <w:highlight w:val="none"/>
          <w:shd w:val="clear" w:color="auto" w:fill="FFFFFF"/>
        </w:rPr>
        <w:t>[15]</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eastAsia="宋体" w:cs="Times New Roman"/>
          <w:color w:val="auto"/>
          <w:kern w:val="0"/>
          <w:sz w:val="15"/>
          <w:szCs w:val="15"/>
          <w:highlight w:val="none"/>
          <w:lang w:val="en-US" w:eastAsia="zh-CN" w:bidi="ar"/>
        </w:rPr>
        <w:t>SHEN J</w:t>
      </w:r>
      <w:r>
        <w:rPr>
          <w:rFonts w:hint="eastAsia" w:ascii="Times New Roman" w:hAnsi="Times New Roman" w:eastAsia="宋体" w:cs="Times New Roman"/>
          <w:color w:val="auto"/>
          <w:kern w:val="0"/>
          <w:sz w:val="15"/>
          <w:szCs w:val="15"/>
          <w:highlight w:val="none"/>
          <w:lang w:val="en-US" w:eastAsia="zh-CN" w:bidi="ar"/>
        </w:rPr>
        <w:t>ixian</w:t>
      </w:r>
      <w:r>
        <w:rPr>
          <w:rFonts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ZHAO Benchao</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WANG Tanyu</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et al. Experiment on the infiltration of undisturbed loess soil column due to heavy rainfall</w:t>
      </w:r>
      <w:r>
        <w:rPr>
          <w:rFonts w:ascii="宋体" w:hAnsi="宋体" w:eastAsia="宋体" w:cs="宋体"/>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J</w:t>
      </w:r>
      <w:r>
        <w:rPr>
          <w:rFonts w:ascii="宋体" w:hAnsi="宋体" w:eastAsia="宋体" w:cs="宋体"/>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 South-to-North Water Transfers and Water Science &amp; Technology</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2025</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23</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4</w:t>
      </w:r>
      <w:r>
        <w:rPr>
          <w:rFonts w:hint="default" w:ascii="FZSS-BJ" w:hAnsi="FZSS-BJ" w:eastAsia="FZSS-BJ" w:cs="FZSS-BJ"/>
          <w:color w:val="auto"/>
          <w:kern w:val="0"/>
          <w:sz w:val="15"/>
          <w:szCs w:val="15"/>
          <w:highlight w:val="none"/>
          <w:lang w:val="en-US" w:eastAsia="zh-CN" w:bidi="ar"/>
        </w:rPr>
        <w:t>）：</w:t>
      </w:r>
      <w:r>
        <w:rPr>
          <w:rFonts w:hint="default" w:ascii="Times New Roman" w:hAnsi="Times New Roman" w:eastAsia="宋体" w:cs="Times New Roman"/>
          <w:color w:val="auto"/>
          <w:kern w:val="0"/>
          <w:sz w:val="15"/>
          <w:szCs w:val="15"/>
          <w:highlight w:val="none"/>
          <w:lang w:val="en-US" w:eastAsia="zh-CN" w:bidi="ar"/>
        </w:rPr>
        <w:t xml:space="preserve">997-1006. </w:t>
      </w:r>
    </w:p>
    <w:p w14:paraId="0B910AD2">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[16] HUGGINS L F, MONKE E J. The </w:t>
      </w:r>
      <w:r>
        <w:rPr>
          <w:rFonts w:hint="default" w:ascii="Times New Roman" w:hAnsi="Times New Roman" w:cs="Times New Roman"/>
          <w:color w:val="auto"/>
          <w:sz w:val="15"/>
          <w:szCs w:val="15"/>
          <w:highlight w:val="none"/>
          <w:shd w:val="clear" w:color="auto" w:fill="D9D9D9"/>
        </w:rPr>
        <w:t>M</w:t>
      </w:r>
      <w:r>
        <w:rPr>
          <w:rFonts w:hint="default" w:ascii="Times New Roman" w:hAnsi="Times New Roman" w:cs="Times New Roman"/>
          <w:color w:val="auto"/>
          <w:sz w:val="15"/>
          <w:szCs w:val="15"/>
          <w:highlight w:val="none"/>
          <w:shd w:val="clear" w:color="auto" w:fill="FFFFFF"/>
        </w:rPr>
        <w:t xml:space="preserve">athematical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imulation of the </w:t>
      </w:r>
      <w:r>
        <w:rPr>
          <w:rFonts w:hint="default" w:ascii="Times New Roman" w:hAnsi="Times New Roman" w:cs="Times New Roman"/>
          <w:color w:val="auto"/>
          <w:sz w:val="15"/>
          <w:szCs w:val="15"/>
          <w:highlight w:val="none"/>
          <w:shd w:val="clear" w:color="auto" w:fill="D9D9D9"/>
        </w:rPr>
        <w:t>H</w:t>
      </w:r>
      <w:r>
        <w:rPr>
          <w:rFonts w:hint="default" w:ascii="Times New Roman" w:hAnsi="Times New Roman" w:cs="Times New Roman"/>
          <w:color w:val="auto"/>
          <w:sz w:val="15"/>
          <w:szCs w:val="15"/>
          <w:highlight w:val="none"/>
          <w:shd w:val="clear" w:color="auto" w:fill="FFFFFF"/>
        </w:rPr>
        <w:t xml:space="preserve">ydrology of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mall </w:t>
      </w:r>
      <w:r>
        <w:rPr>
          <w:rFonts w:hint="default" w:ascii="Times New Roman" w:hAnsi="Times New Roman" w:cs="Times New Roman"/>
          <w:color w:val="auto"/>
          <w:sz w:val="15"/>
          <w:szCs w:val="15"/>
          <w:highlight w:val="none"/>
          <w:shd w:val="clear" w:color="auto" w:fill="D9D9D9"/>
        </w:rPr>
        <w:t>W</w:t>
      </w:r>
      <w:r>
        <w:rPr>
          <w:rFonts w:hint="default" w:ascii="Times New Roman" w:hAnsi="Times New Roman" w:cs="Times New Roman"/>
          <w:color w:val="auto"/>
          <w:sz w:val="15"/>
          <w:szCs w:val="15"/>
          <w:highlight w:val="none"/>
          <w:shd w:val="clear" w:color="auto" w:fill="FFFFFF"/>
        </w:rPr>
        <w:t>atersheds[M]. West Lafayette: Water Resources Research Center, Purdue University, 1966.</w:t>
      </w:r>
    </w:p>
    <w:p w14:paraId="2AA0A9EF">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[17]</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color w:val="auto"/>
          <w:sz w:val="15"/>
          <w:szCs w:val="15"/>
          <w:highlight w:val="none"/>
          <w:shd w:val="clear" w:color="auto" w:fill="FFFFFF"/>
        </w:rPr>
        <w:t>COLLIS-GEORGE N. Infiltration equations for simple soil systems[J]. Water Resources Research, 1977, 13(2): 395-403.</w:t>
      </w:r>
    </w:p>
    <w:p w14:paraId="7E93D137">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[18]</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TURNER E. Comparison of Infiltration Equations and Their Field Validation with Rainfall Simulation[D]. Baltimore, MD: University of Maryland, 2006.</w:t>
      </w:r>
    </w:p>
    <w:p w14:paraId="0C24B2C6">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[19]</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LI</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B</w:t>
      </w:r>
      <w:r>
        <w:rPr>
          <w:rFonts w:hint="default" w:ascii="Times New Roman" w:hAnsi="Times New Roman" w:cs="Times New Roman"/>
          <w:color w:val="auto"/>
          <w:sz w:val="15"/>
          <w:szCs w:val="15"/>
          <w:highlight w:val="none"/>
          <w:lang w:val="en-US"/>
        </w:rPr>
        <w:t>aoqi</w:t>
      </w:r>
      <w:r>
        <w:rPr>
          <w:rFonts w:hint="default" w:ascii="Times New Roman" w:hAnsi="Times New Roman" w:cs="Times New Roman"/>
          <w:color w:val="auto"/>
          <w:sz w:val="15"/>
          <w:szCs w:val="15"/>
          <w:highlight w:val="none"/>
        </w:rPr>
        <w:t>，GUO</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Y</w:t>
      </w:r>
      <w:r>
        <w:rPr>
          <w:rFonts w:hint="default" w:ascii="Times New Roman" w:hAnsi="Times New Roman" w:cs="Times New Roman"/>
          <w:color w:val="auto"/>
          <w:sz w:val="15"/>
          <w:szCs w:val="15"/>
          <w:highlight w:val="none"/>
          <w:lang w:val="en-US"/>
        </w:rPr>
        <w:t>i</w:t>
      </w:r>
      <w:r>
        <w:rPr>
          <w:rFonts w:hint="default" w:ascii="Times New Roman" w:hAnsi="Times New Roman" w:cs="Times New Roman"/>
          <w:color w:val="auto"/>
          <w:sz w:val="15"/>
          <w:szCs w:val="15"/>
          <w:highlight w:val="none"/>
        </w:rPr>
        <w:t>，ZHANG</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S</w:t>
      </w:r>
      <w:r>
        <w:rPr>
          <w:rFonts w:hint="default" w:ascii="Times New Roman" w:hAnsi="Times New Roman" w:cs="Times New Roman"/>
          <w:color w:val="auto"/>
          <w:sz w:val="15"/>
          <w:szCs w:val="15"/>
          <w:highlight w:val="none"/>
          <w:lang w:val="en-US"/>
        </w:rPr>
        <w:t>haoxiong</w:t>
      </w:r>
      <w:r>
        <w:rPr>
          <w:rFonts w:hint="default" w:ascii="Times New Roman" w:hAnsi="Times New Roman" w:cs="Times New Roman"/>
          <w:color w:val="auto"/>
          <w:sz w:val="15"/>
          <w:szCs w:val="15"/>
          <w:highlight w:val="none"/>
        </w:rPr>
        <w:t>，et</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al.</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Development</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status</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and</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connectivity</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of</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water</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system</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in</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Hebei</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Province</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and</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their</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correlation[J].</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South-to</w:t>
      </w:r>
      <w:r>
        <w:rPr>
          <w:rFonts w:hint="default" w:ascii="Times New Roman" w:hAnsi="Times New Roman" w:cs="Times New Roman"/>
          <w:color w:val="auto"/>
          <w:sz w:val="15"/>
          <w:szCs w:val="15"/>
          <w:highlight w:val="none"/>
        </w:rPr>
        <w:t/>
      </w:r>
      <w:r>
        <w:rPr>
          <w:rFonts w:hint="default" w:ascii="Times New Roman" w:hAnsi="Times New Roman" w:cs="Times New Roman"/>
          <w:color w:val="auto"/>
          <w:sz w:val="15"/>
          <w:szCs w:val="15"/>
          <w:highlight w:val="none"/>
        </w:rPr>
        <w:t>North</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Water</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Transfers</w:t>
      </w:r>
      <w:r>
        <w:rPr>
          <w:rFonts w:hint="eastAsia" w:ascii="Times New Roman" w:hAnsi="Times New Roman" w:cs="Times New Roman"/>
          <w:color w:val="auto"/>
          <w:sz w:val="15"/>
          <w:szCs w:val="15"/>
          <w:highlight w:val="none"/>
          <w:lang w:eastAsia="zh-CN"/>
        </w:rPr>
        <w:t xml:space="preserve"> </w:t>
      </w:r>
      <w:r>
        <w:rPr>
          <w:rFonts w:hint="default" w:ascii="Times New Roman" w:hAnsi="Times New Roman" w:cs="Times New Roman"/>
          <w:color w:val="auto"/>
          <w:sz w:val="15"/>
          <w:szCs w:val="15"/>
          <w:highlight w:val="none"/>
        </w:rPr>
        <w:t>and Water Science &amp; Technology，2025，23（3）：660-668</w:t>
      </w:r>
    </w:p>
    <w:p w14:paraId="2FD2239B">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[20]</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DAGADU J, NIMBALKAR P. Infiltration studies of different soils under different soil conditions and comparison of infiltration models with field data[J]. International Journal of Advance Engineering Technology, 2012, 3: 154-157.</w:t>
      </w:r>
    </w:p>
    <w:p w14:paraId="1A7C7636">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[21]</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 xml:space="preserve">SINGH B, SIHAG P, SINGH K. Comparison of infiltration models in NIT Kurukshetra campus[J]. Applied Water Science, 2018, 8: </w:t>
      </w:r>
      <w:r>
        <w:rPr>
          <w:rFonts w:hint="eastAsia" w:ascii="Times New Roman" w:hAnsi="Times New Roman" w:cs="Times New Roman"/>
          <w:color w:val="auto"/>
          <w:sz w:val="15"/>
          <w:szCs w:val="15"/>
          <w:highlight w:val="none"/>
          <w:lang w:val="en-US" w:eastAsia="zh-CN"/>
        </w:rPr>
        <w:t>63</w:t>
      </w:r>
      <w:r>
        <w:rPr>
          <w:rFonts w:hint="default" w:ascii="Times New Roman" w:hAnsi="Times New Roman" w:cs="Times New Roman"/>
          <w:color w:val="auto"/>
          <w:sz w:val="15"/>
          <w:szCs w:val="15"/>
          <w:highlight w:val="none"/>
        </w:rPr>
        <w:t>.</w:t>
      </w:r>
    </w:p>
    <w:p w14:paraId="4057923C">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[22]</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NAVAR J, SYNNOTT T J. Soil infiltration and land use in Linares, N.L., Mexico[J]. Terra Latinoamericana, 2000, 18: 255-262.</w:t>
      </w:r>
    </w:p>
    <w:p w14:paraId="4B8F649C">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[23]</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SIHAG P, TIWARI N, RANJAN S. Estimation and inter-comparison of infiltration models[J]. Water Science, 2017, 31: 34-43.</w:t>
      </w:r>
    </w:p>
    <w:p w14:paraId="22552006">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lang w:eastAsia="zh-CN"/>
        </w:rPr>
      </w:pPr>
      <w:r>
        <w:rPr>
          <w:rFonts w:hint="default" w:ascii="Times New Roman" w:hAnsi="Times New Roman" w:cs="Times New Roman"/>
          <w:color w:val="auto"/>
          <w:sz w:val="15"/>
          <w:szCs w:val="15"/>
          <w:highlight w:val="none"/>
        </w:rPr>
        <w:t>[24]</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Ministry of Mahaweli Development and Environment. Annual performance report accounts 2017[M]. Colombo, Sri Lanka: Ministry of Mahaweli Development and Environment, 2017.</w:t>
      </w:r>
    </w:p>
    <w:p w14:paraId="14E52ECB">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eastAsiaTheme="minorEastAsia"/>
          <w:color w:val="auto"/>
          <w:sz w:val="15"/>
          <w:szCs w:val="15"/>
          <w:highlight w:val="none"/>
          <w:lang w:eastAsia="zh-CN"/>
        </w:rPr>
      </w:pPr>
      <w:r>
        <w:rPr>
          <w:rFonts w:hint="default" w:ascii="Times New Roman" w:hAnsi="Times New Roman" w:cs="Times New Roman"/>
          <w:color w:val="auto"/>
          <w:sz w:val="15"/>
          <w:szCs w:val="15"/>
          <w:highlight w:val="none"/>
          <w:shd w:val="clear" w:color="auto" w:fill="FFFFFF"/>
        </w:rPr>
        <w:t>[25]</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eastAsiaTheme="minorEastAsia"/>
          <w:color w:val="auto"/>
          <w:sz w:val="15"/>
          <w:szCs w:val="15"/>
          <w:highlight w:val="none"/>
          <w:lang w:eastAsia="zh-CN"/>
        </w:rPr>
        <w:t>TIAN Zuokunk YANG Ting, CHEN Rui, et al. Variation law of subsurface drip irrigation emitter flow rate and response to infiltration cavity in two types of soils[J]</w:t>
      </w:r>
      <w:r>
        <w:rPr>
          <w:rFonts w:hint="default" w:ascii="Times New Roman" w:hAnsi="Times New Roman" w:eastAsia="宋体" w:cs="Times New Roman"/>
          <w:color w:val="auto"/>
          <w:sz w:val="15"/>
          <w:szCs w:val="15"/>
          <w:highlight w:val="none"/>
          <w:lang w:eastAsia="zh-CN"/>
        </w:rPr>
        <w:t xml:space="preserve"> . </w:t>
      </w:r>
      <w:r>
        <w:rPr>
          <w:rFonts w:hint="default" w:ascii="Times New Roman" w:hAnsi="Times New Roman" w:cs="Times New Roman"/>
          <w:color w:val="auto"/>
          <w:sz w:val="15"/>
          <w:szCs w:val="15"/>
          <w:highlight w:val="none"/>
        </w:rPr>
        <w:t>Journal of Drainage and Irrigation Machinery Engineering</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202</w:t>
      </w:r>
      <w:r>
        <w:rPr>
          <w:rFonts w:hint="default" w:ascii="Times New Roman" w:hAnsi="Times New Roman" w:cs="Times New Roman" w:eastAsiaTheme="minorEastAsia"/>
          <w:color w:val="auto"/>
          <w:sz w:val="15"/>
          <w:szCs w:val="15"/>
          <w:highlight w:val="none"/>
          <w:lang w:eastAsia="zh-CN"/>
        </w:rPr>
        <w:t>4</w:t>
      </w:r>
      <w:r>
        <w:rPr>
          <w:rFonts w:hint="default" w:ascii="Times New Roman" w:hAnsi="Times New Roman" w:eastAsia="宋体" w:cs="Times New Roman"/>
          <w:color w:val="auto"/>
          <w:sz w:val="15"/>
          <w:szCs w:val="15"/>
          <w:highlight w:val="none"/>
        </w:rPr>
        <w:t>，</w:t>
      </w:r>
      <w:r>
        <w:rPr>
          <w:rFonts w:hint="default" w:ascii="Times New Roman" w:hAnsi="Times New Roman" w:cs="Times New Roman"/>
          <w:color w:val="auto"/>
          <w:sz w:val="15"/>
          <w:szCs w:val="15"/>
          <w:highlight w:val="none"/>
        </w:rPr>
        <w:t>4</w:t>
      </w:r>
      <w:r>
        <w:rPr>
          <w:rFonts w:hint="default" w:ascii="Times New Roman" w:hAnsi="Times New Roman" w:cs="Times New Roman" w:eastAsiaTheme="minorEastAsia"/>
          <w:color w:val="auto"/>
          <w:sz w:val="15"/>
          <w:szCs w:val="15"/>
          <w:highlight w:val="none"/>
          <w:lang w:eastAsia="zh-CN"/>
        </w:rPr>
        <w:t>2</w:t>
      </w:r>
      <w:r>
        <w:rPr>
          <w:rFonts w:hint="default" w:ascii="Times New Roman" w:hAnsi="Times New Roman" w:cs="Times New Roman"/>
          <w:color w:val="auto"/>
          <w:sz w:val="15"/>
          <w:szCs w:val="15"/>
          <w:highlight w:val="none"/>
        </w:rPr>
        <w:t>(</w:t>
      </w:r>
      <w:r>
        <w:rPr>
          <w:rFonts w:hint="default" w:ascii="Times New Roman" w:hAnsi="Times New Roman" w:cs="Times New Roman" w:eastAsiaTheme="minorEastAsia"/>
          <w:color w:val="auto"/>
          <w:sz w:val="15"/>
          <w:szCs w:val="15"/>
          <w:highlight w:val="none"/>
          <w:lang w:eastAsia="zh-CN"/>
        </w:rPr>
        <w:t>7</w:t>
      </w:r>
      <w:r>
        <w:rPr>
          <w:rFonts w:hint="default" w:ascii="Times New Roman" w:hAnsi="Times New Roman" w:cs="Times New Roman"/>
          <w:color w:val="auto"/>
          <w:sz w:val="15"/>
          <w:szCs w:val="15"/>
          <w:highlight w:val="none"/>
        </w:rPr>
        <w:t xml:space="preserve">) : </w:t>
      </w:r>
      <w:r>
        <w:rPr>
          <w:rFonts w:hint="default" w:ascii="Times New Roman" w:hAnsi="Times New Roman" w:cs="Times New Roman" w:eastAsiaTheme="minorEastAsia"/>
          <w:color w:val="auto"/>
          <w:sz w:val="15"/>
          <w:szCs w:val="15"/>
          <w:highlight w:val="none"/>
          <w:lang w:eastAsia="zh-CN"/>
        </w:rPr>
        <w:t>728-735</w:t>
      </w:r>
      <w:r>
        <w:rPr>
          <w:rFonts w:hint="default" w:ascii="Times New Roman" w:hAnsi="Times New Roman" w:eastAsia="宋体" w:cs="Times New Roman"/>
          <w:color w:val="auto"/>
          <w:sz w:val="15"/>
          <w:szCs w:val="15"/>
          <w:highlight w:val="none"/>
        </w:rPr>
        <w:t>．</w:t>
      </w:r>
    </w:p>
    <w:p w14:paraId="293E68B0">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[26]</w:t>
      </w:r>
      <w:r>
        <w:rPr>
          <w:rFonts w:hint="default" w:ascii="Times New Roman" w:hAnsi="Times New Roman" w:cs="Times New Roman"/>
          <w:color w:val="auto"/>
          <w:sz w:val="15"/>
          <w:szCs w:val="15"/>
          <w:highlight w:val="none"/>
          <w:shd w:val="clear" w:color="auto" w:fill="FFFFFF"/>
        </w:rPr>
        <w:tab/>
      </w:r>
      <w:r>
        <w:rPr>
          <w:rFonts w:hint="default" w:ascii="Times New Roman" w:hAnsi="Times New Roman" w:cs="Times New Roman"/>
          <w:color w:val="auto"/>
          <w:sz w:val="15"/>
          <w:szCs w:val="15"/>
          <w:highlight w:val="none"/>
          <w:shd w:val="clear" w:color="auto" w:fill="FFFFFF"/>
        </w:rPr>
        <w:t xml:space="preserve">BERUNDHARSHANI T, MUNASINGHE D. Drought </w:t>
      </w:r>
      <w:r>
        <w:rPr>
          <w:rFonts w:hint="default" w:ascii="Times New Roman" w:hAnsi="Times New Roman" w:cs="Times New Roman"/>
          <w:color w:val="auto"/>
          <w:sz w:val="15"/>
          <w:szCs w:val="15"/>
          <w:highlight w:val="none"/>
          <w:shd w:val="clear" w:color="auto" w:fill="D9D9D9"/>
        </w:rPr>
        <w:t>r</w:t>
      </w:r>
      <w:r>
        <w:rPr>
          <w:rFonts w:hint="default" w:ascii="Times New Roman" w:hAnsi="Times New Roman" w:cs="Times New Roman"/>
          <w:color w:val="auto"/>
          <w:sz w:val="15"/>
          <w:szCs w:val="15"/>
          <w:highlight w:val="none"/>
          <w:shd w:val="clear" w:color="auto" w:fill="FFFFFF"/>
        </w:rPr>
        <w:t xml:space="preserve">esilient </w:t>
      </w:r>
      <w:r>
        <w:rPr>
          <w:rFonts w:hint="default" w:ascii="Times New Roman" w:hAnsi="Times New Roman" w:cs="Times New Roman"/>
          <w:color w:val="auto"/>
          <w:sz w:val="15"/>
          <w:szCs w:val="15"/>
          <w:highlight w:val="none"/>
          <w:shd w:val="clear" w:color="auto" w:fill="D9D9D9"/>
        </w:rPr>
        <w:t>f</w:t>
      </w:r>
      <w:r>
        <w:rPr>
          <w:rFonts w:hint="default" w:ascii="Times New Roman" w:hAnsi="Times New Roman" w:cs="Times New Roman"/>
          <w:color w:val="auto"/>
          <w:sz w:val="15"/>
          <w:szCs w:val="15"/>
          <w:highlight w:val="none"/>
          <w:shd w:val="clear" w:color="auto" w:fill="FFFFFF"/>
        </w:rPr>
        <w:t xml:space="preserve">arming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ystem through </w:t>
      </w:r>
      <w:r>
        <w:rPr>
          <w:rFonts w:hint="default" w:ascii="Times New Roman" w:hAnsi="Times New Roman" w:cs="Times New Roman"/>
          <w:color w:val="auto"/>
          <w:sz w:val="15"/>
          <w:szCs w:val="15"/>
          <w:highlight w:val="none"/>
          <w:shd w:val="clear" w:color="auto" w:fill="D9D9D9"/>
        </w:rPr>
        <w:t>c</w:t>
      </w:r>
      <w:r>
        <w:rPr>
          <w:rFonts w:hint="default" w:ascii="Times New Roman" w:hAnsi="Times New Roman" w:cs="Times New Roman"/>
          <w:color w:val="auto"/>
          <w:sz w:val="15"/>
          <w:szCs w:val="15"/>
          <w:highlight w:val="none"/>
          <w:shd w:val="clear" w:color="auto" w:fill="FFFFFF"/>
        </w:rPr>
        <w:t xml:space="preserve">rop </w:t>
      </w:r>
      <w:r>
        <w:rPr>
          <w:rFonts w:hint="default" w:ascii="Times New Roman" w:hAnsi="Times New Roman" w:cs="Times New Roman"/>
          <w:color w:val="auto"/>
          <w:sz w:val="15"/>
          <w:szCs w:val="15"/>
          <w:highlight w:val="none"/>
          <w:shd w:val="clear" w:color="auto" w:fill="D9D9D9"/>
        </w:rPr>
        <w:t>d</w:t>
      </w:r>
      <w:r>
        <w:rPr>
          <w:rFonts w:hint="default" w:ascii="Times New Roman" w:hAnsi="Times New Roman" w:cs="Times New Roman"/>
          <w:color w:val="auto"/>
          <w:sz w:val="15"/>
          <w:szCs w:val="15"/>
          <w:highlight w:val="none"/>
          <w:shd w:val="clear" w:color="auto" w:fill="FFFFFF"/>
        </w:rPr>
        <w:t xml:space="preserve">iversification: </w:t>
      </w:r>
      <w:r>
        <w:rPr>
          <w:rFonts w:hint="default" w:ascii="Times New Roman" w:hAnsi="Times New Roman" w:cs="Times New Roman"/>
          <w:color w:val="auto"/>
          <w:sz w:val="15"/>
          <w:szCs w:val="15"/>
          <w:highlight w:val="none"/>
          <w:shd w:val="clear" w:color="auto" w:fill="D9D9D9"/>
        </w:rPr>
        <w:t>t</w:t>
      </w:r>
      <w:r>
        <w:rPr>
          <w:rFonts w:hint="default" w:ascii="Times New Roman" w:hAnsi="Times New Roman" w:cs="Times New Roman"/>
          <w:color w:val="auto"/>
          <w:sz w:val="15"/>
          <w:szCs w:val="15"/>
          <w:highlight w:val="none"/>
          <w:shd w:val="clear" w:color="auto" w:fill="FFFFFF"/>
        </w:rPr>
        <w:t xml:space="preserve">he </w:t>
      </w:r>
      <w:r>
        <w:rPr>
          <w:rFonts w:hint="default" w:ascii="Times New Roman" w:hAnsi="Times New Roman" w:cs="Times New Roman"/>
          <w:color w:val="auto"/>
          <w:sz w:val="15"/>
          <w:szCs w:val="15"/>
          <w:highlight w:val="none"/>
          <w:shd w:val="clear" w:color="auto" w:fill="D9D9D9"/>
        </w:rPr>
        <w:t>c</w:t>
      </w:r>
      <w:r>
        <w:rPr>
          <w:rFonts w:hint="default" w:ascii="Times New Roman" w:hAnsi="Times New Roman" w:cs="Times New Roman"/>
          <w:color w:val="auto"/>
          <w:sz w:val="15"/>
          <w:szCs w:val="15"/>
          <w:highlight w:val="none"/>
          <w:shd w:val="clear" w:color="auto" w:fill="FFFFFF"/>
        </w:rPr>
        <w:t>ase of Huruluwewa[M]. Colombo, Sri Lanka</w:t>
      </w:r>
      <w:r>
        <w:rPr>
          <w:rFonts w:hint="default" w:ascii="Times New Roman" w:hAnsi="Times New Roman" w:cs="Times New Roman"/>
          <w:color w:val="auto"/>
          <w:sz w:val="15"/>
          <w:szCs w:val="15"/>
          <w:highlight w:val="none"/>
          <w:shd w:val="clear" w:color="auto" w:fill="FFCCFF"/>
        </w:rPr>
        <w:t>: Hector Kobbekaduwa Agrarian Research and Training Institute</w:t>
      </w:r>
      <w:r>
        <w:rPr>
          <w:rFonts w:hint="default" w:ascii="Times New Roman" w:hAnsi="Times New Roman" w:cs="Times New Roman"/>
          <w:color w:val="auto"/>
          <w:sz w:val="15"/>
          <w:szCs w:val="15"/>
          <w:highlight w:val="none"/>
          <w:shd w:val="clear" w:color="auto" w:fill="FFCCFF"/>
          <w:lang w:val="en-US"/>
        </w:rPr>
        <w:t xml:space="preserve">, </w:t>
      </w:r>
      <w:r>
        <w:rPr>
          <w:rFonts w:hint="default" w:ascii="Times New Roman" w:hAnsi="Times New Roman" w:cs="Times New Roman"/>
          <w:color w:val="auto"/>
          <w:sz w:val="15"/>
          <w:szCs w:val="15"/>
          <w:highlight w:val="none"/>
          <w:shd w:val="clear" w:color="auto" w:fill="FFCCFF"/>
        </w:rPr>
        <w:t>2015</w:t>
      </w:r>
      <w:r>
        <w:rPr>
          <w:rFonts w:hint="default" w:ascii="Times New Roman" w:hAnsi="Times New Roman" w:cs="Times New Roman"/>
          <w:color w:val="auto"/>
          <w:sz w:val="15"/>
          <w:szCs w:val="15"/>
          <w:highlight w:val="none"/>
          <w:shd w:val="clear" w:color="auto" w:fill="FFFFFF"/>
        </w:rPr>
        <w:t>.</w:t>
      </w:r>
    </w:p>
    <w:p w14:paraId="42481BF1">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[27] PARANAVITHANA G</w:t>
      </w:r>
      <w:r>
        <w:rPr>
          <w:rFonts w:hint="default" w:ascii="Times New Roman" w:hAnsi="Times New Roman" w:cs="Times New Roman"/>
          <w:color w:val="auto"/>
          <w:sz w:val="15"/>
          <w:szCs w:val="15"/>
          <w:highlight w:val="none"/>
          <w:shd w:val="clear" w:color="auto" w:fill="FFCCFF"/>
        </w:rPr>
        <w:t xml:space="preserve"> N</w:t>
      </w:r>
      <w:r>
        <w:rPr>
          <w:rFonts w:hint="default" w:ascii="Times New Roman" w:hAnsi="Times New Roman" w:cs="Times New Roman"/>
          <w:color w:val="auto"/>
          <w:sz w:val="15"/>
          <w:szCs w:val="15"/>
          <w:highlight w:val="none"/>
          <w:shd w:val="clear" w:color="auto" w:fill="FFFFFF"/>
        </w:rPr>
        <w:t>, ARACHCHI R</w:t>
      </w:r>
      <w:r>
        <w:rPr>
          <w:rFonts w:hint="default" w:ascii="Times New Roman" w:hAnsi="Times New Roman" w:cs="Times New Roman"/>
          <w:color w:val="auto"/>
          <w:sz w:val="15"/>
          <w:szCs w:val="15"/>
          <w:highlight w:val="none"/>
          <w:shd w:val="clear" w:color="auto" w:fill="FFCCFF"/>
        </w:rPr>
        <w:t xml:space="preserve"> N J K</w:t>
      </w:r>
      <w:r>
        <w:rPr>
          <w:rFonts w:hint="default" w:ascii="Times New Roman" w:hAnsi="Times New Roman" w:cs="Times New Roman"/>
          <w:color w:val="auto"/>
          <w:sz w:val="15"/>
          <w:szCs w:val="15"/>
          <w:highlight w:val="none"/>
          <w:shd w:val="clear" w:color="auto" w:fill="FFFFFF"/>
        </w:rPr>
        <w:t xml:space="preserve">, RATHNAYAKE U. Comparative analysis of the cumulative yield from the adjacent catchment along the ancient Minipe Left Bank Canal, Sri Lanka[J]. Journal of Infrastructure Policy </w:t>
      </w:r>
      <w:r>
        <w:rPr>
          <w:rFonts w:hint="default" w:ascii="Times New Roman" w:hAnsi="Times New Roman" w:cs="Times New Roman"/>
          <w:color w:val="auto"/>
          <w:sz w:val="15"/>
          <w:szCs w:val="15"/>
          <w:highlight w:val="none"/>
          <w:shd w:val="clear" w:color="auto" w:fill="FFCCFF"/>
        </w:rPr>
        <w:t>and</w:t>
      </w:r>
      <w:r>
        <w:rPr>
          <w:rFonts w:hint="default" w:ascii="Times New Roman" w:hAnsi="Times New Roman" w:cs="Times New Roman"/>
          <w:color w:val="auto"/>
          <w:sz w:val="15"/>
          <w:szCs w:val="15"/>
          <w:highlight w:val="none"/>
          <w:shd w:val="clear" w:color="auto" w:fill="FFFFFF"/>
        </w:rPr>
        <w:t xml:space="preserve"> Development, 2023, 7(3): </w:t>
      </w:r>
      <w:r>
        <w:rPr>
          <w:rFonts w:hint="default" w:ascii="Times New Roman" w:hAnsi="Times New Roman" w:cs="Times New Roman"/>
          <w:color w:val="auto"/>
          <w:sz w:val="15"/>
          <w:szCs w:val="15"/>
          <w:highlight w:val="none"/>
          <w:shd w:val="clear" w:color="auto" w:fill="FFCCFF"/>
        </w:rPr>
        <w:t>2165</w:t>
      </w:r>
      <w:r>
        <w:rPr>
          <w:rFonts w:hint="default" w:ascii="Times New Roman" w:hAnsi="Times New Roman" w:cs="Times New Roman"/>
          <w:color w:val="auto"/>
          <w:sz w:val="15"/>
          <w:szCs w:val="15"/>
          <w:highlight w:val="none"/>
          <w:shd w:val="clear" w:color="auto" w:fill="FFFFFF"/>
        </w:rPr>
        <w:t>.</w:t>
      </w:r>
    </w:p>
    <w:p w14:paraId="42800C8C">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[28] USDA. Soil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urvey </w:t>
      </w:r>
      <w:r>
        <w:rPr>
          <w:rFonts w:hint="default" w:ascii="Times New Roman" w:hAnsi="Times New Roman" w:cs="Times New Roman"/>
          <w:color w:val="auto"/>
          <w:sz w:val="15"/>
          <w:szCs w:val="15"/>
          <w:highlight w:val="none"/>
          <w:shd w:val="clear" w:color="auto" w:fill="D9D9D9"/>
        </w:rPr>
        <w:t>M</w:t>
      </w:r>
      <w:r>
        <w:rPr>
          <w:rFonts w:hint="default" w:ascii="Times New Roman" w:hAnsi="Times New Roman" w:cs="Times New Roman"/>
          <w:color w:val="auto"/>
          <w:sz w:val="15"/>
          <w:szCs w:val="15"/>
          <w:highlight w:val="none"/>
          <w:shd w:val="clear" w:color="auto" w:fill="FFFFFF"/>
        </w:rPr>
        <w:t>anual</w:t>
      </w:r>
      <w:r>
        <w:rPr>
          <w:rFonts w:hint="default" w:ascii="Times New Roman" w:hAnsi="Times New Roman" w:cs="Times New Roman"/>
          <w:color w:val="auto"/>
          <w:sz w:val="15"/>
          <w:szCs w:val="15"/>
          <w:highlight w:val="none"/>
          <w:shd w:val="clear" w:color="auto" w:fill="FFCCFF"/>
        </w:rPr>
        <w:t>[M].</w:t>
      </w:r>
      <w:r>
        <w:rPr>
          <w:rFonts w:hint="default" w:ascii="Times New Roman" w:hAnsi="Times New Roman" w:cs="Times New Roman"/>
          <w:color w:val="auto"/>
          <w:sz w:val="15"/>
          <w:szCs w:val="15"/>
          <w:highlight w:val="none"/>
          <w:shd w:val="clear" w:color="auto" w:fill="FFFFFF"/>
        </w:rPr>
        <w:t xml:space="preserve"> 18th ed. </w:t>
      </w:r>
      <w:r>
        <w:rPr>
          <w:rFonts w:hint="default" w:ascii="Times New Roman" w:hAnsi="Times New Roman" w:cs="Times New Roman"/>
          <w:color w:val="auto"/>
          <w:sz w:val="15"/>
          <w:szCs w:val="15"/>
          <w:highlight w:val="none"/>
          <w:shd w:val="clear" w:color="auto" w:fill="FFCCFF"/>
        </w:rPr>
        <w:t>Washington</w:t>
      </w:r>
      <w:r>
        <w:rPr>
          <w:rFonts w:hint="default" w:ascii="Times New Roman" w:hAnsi="Times New Roman" w:cs="Times New Roman"/>
          <w:color w:val="auto"/>
          <w:sz w:val="15"/>
          <w:szCs w:val="15"/>
          <w:highlight w:val="none"/>
          <w:shd w:val="clear" w:color="auto" w:fill="FFFFFF"/>
        </w:rPr>
        <w:t>: USDA, 2017.</w:t>
      </w:r>
    </w:p>
    <w:p w14:paraId="1DE5534D">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[29] </w:t>
      </w:r>
      <w:r>
        <w:rPr>
          <w:rFonts w:hint="default" w:ascii="Times New Roman" w:hAnsi="Times New Roman" w:cs="Times New Roman"/>
          <w:color w:val="auto"/>
          <w:sz w:val="15"/>
          <w:szCs w:val="15"/>
          <w:highlight w:val="none"/>
          <w:shd w:val="clear" w:color="auto" w:fill="FFCCFF"/>
        </w:rPr>
        <w:t>RÖNNQVIST</w:t>
      </w:r>
      <w:r>
        <w:rPr>
          <w:rFonts w:hint="default" w:ascii="Times New Roman" w:hAnsi="Times New Roman" w:cs="Times New Roman"/>
          <w:color w:val="auto"/>
          <w:sz w:val="15"/>
          <w:szCs w:val="15"/>
          <w:highlight w:val="none"/>
          <w:shd w:val="clear" w:color="auto" w:fill="FFFFFF"/>
        </w:rPr>
        <w:t xml:space="preserve"> H. Double-ring infiltrometer for </w:t>
      </w:r>
      <w:r>
        <w:rPr>
          <w:rFonts w:hint="default" w:ascii="Times New Roman" w:hAnsi="Times New Roman" w:cs="Times New Roman"/>
          <w:i/>
          <w:color w:val="auto"/>
          <w:sz w:val="15"/>
          <w:szCs w:val="15"/>
          <w:highlight w:val="none"/>
          <w:shd w:val="clear" w:color="auto" w:fill="D9D9D9"/>
        </w:rPr>
        <w:t>I</w:t>
      </w:r>
      <w:r>
        <w:rPr>
          <w:rFonts w:hint="default" w:ascii="Times New Roman" w:hAnsi="Times New Roman" w:cs="Times New Roman"/>
          <w:i/>
          <w:color w:val="auto"/>
          <w:sz w:val="15"/>
          <w:szCs w:val="15"/>
          <w:highlight w:val="none"/>
          <w:shd w:val="clear" w:color="auto" w:fill="FFFFFF"/>
        </w:rPr>
        <w:t>n-situ</w:t>
      </w:r>
      <w:r>
        <w:rPr>
          <w:rFonts w:hint="default" w:ascii="Times New Roman" w:hAnsi="Times New Roman" w:cs="Times New Roman"/>
          <w:color w:val="auto"/>
          <w:sz w:val="15"/>
          <w:szCs w:val="15"/>
          <w:highlight w:val="none"/>
          <w:shd w:val="clear" w:color="auto" w:fill="FFFFFF"/>
        </w:rPr>
        <w:t xml:space="preserve"> permeability determination of dam material[J]. Engineering, 2018, 10(6): 320-328.</w:t>
      </w:r>
    </w:p>
    <w:p w14:paraId="037361BD">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[30] MORIASI D</w:t>
      </w:r>
      <w:r>
        <w:rPr>
          <w:rFonts w:hint="default" w:ascii="Times New Roman" w:hAnsi="Times New Roman" w:cs="Times New Roman"/>
          <w:color w:val="auto"/>
          <w:sz w:val="15"/>
          <w:szCs w:val="15"/>
          <w:highlight w:val="none"/>
          <w:shd w:val="clear" w:color="auto" w:fill="FFCCFF"/>
        </w:rPr>
        <w:t xml:space="preserve"> N</w:t>
      </w:r>
      <w:r>
        <w:rPr>
          <w:rFonts w:hint="default" w:ascii="Times New Roman" w:hAnsi="Times New Roman" w:cs="Times New Roman"/>
          <w:color w:val="auto"/>
          <w:sz w:val="15"/>
          <w:szCs w:val="15"/>
          <w:highlight w:val="none"/>
          <w:shd w:val="clear" w:color="auto" w:fill="FFFFFF"/>
        </w:rPr>
        <w:t>, ARNOLD J</w:t>
      </w:r>
      <w:r>
        <w:rPr>
          <w:rFonts w:hint="default" w:ascii="Times New Roman" w:hAnsi="Times New Roman" w:cs="Times New Roman"/>
          <w:color w:val="auto"/>
          <w:sz w:val="15"/>
          <w:szCs w:val="15"/>
          <w:highlight w:val="none"/>
          <w:shd w:val="clear" w:color="auto" w:fill="FFCCFF"/>
        </w:rPr>
        <w:t xml:space="preserve"> G</w:t>
      </w:r>
      <w:r>
        <w:rPr>
          <w:rFonts w:hint="default" w:ascii="Times New Roman" w:hAnsi="Times New Roman" w:cs="Times New Roman"/>
          <w:color w:val="auto"/>
          <w:sz w:val="15"/>
          <w:szCs w:val="15"/>
          <w:highlight w:val="none"/>
          <w:shd w:val="clear" w:color="auto" w:fill="FFFFFF"/>
        </w:rPr>
        <w:t>, VAN LIEW M</w:t>
      </w:r>
      <w:r>
        <w:rPr>
          <w:rFonts w:hint="default" w:ascii="Times New Roman" w:hAnsi="Times New Roman" w:cs="Times New Roman"/>
          <w:color w:val="auto"/>
          <w:sz w:val="15"/>
          <w:szCs w:val="15"/>
          <w:highlight w:val="none"/>
          <w:shd w:val="clear" w:color="auto" w:fill="FFCCFF"/>
        </w:rPr>
        <w:t xml:space="preserve"> W</w:t>
      </w:r>
      <w:r>
        <w:rPr>
          <w:rFonts w:hint="default" w:ascii="Times New Roman" w:hAnsi="Times New Roman" w:cs="Times New Roman"/>
          <w:color w:val="auto"/>
          <w:sz w:val="15"/>
          <w:szCs w:val="15"/>
          <w:highlight w:val="none"/>
          <w:shd w:val="clear" w:color="auto" w:fill="FFFFFF"/>
        </w:rPr>
        <w:t xml:space="preserve">, et al. Model evaluation guidelines for systematic quantification of accuracy in watershed simulations[J]. </w:t>
      </w:r>
      <w:r>
        <w:rPr>
          <w:rFonts w:hint="default" w:ascii="Times New Roman" w:hAnsi="Times New Roman" w:cs="Times New Roman"/>
          <w:color w:val="auto"/>
          <w:sz w:val="15"/>
          <w:szCs w:val="15"/>
          <w:highlight w:val="none"/>
          <w:shd w:val="clear" w:color="auto" w:fill="FFCCFF"/>
        </w:rPr>
        <w:t>Transactions</w:t>
      </w:r>
      <w:r>
        <w:rPr>
          <w:rFonts w:hint="default" w:ascii="Times New Roman" w:hAnsi="Times New Roman" w:cs="Times New Roman"/>
          <w:color w:val="auto"/>
          <w:sz w:val="15"/>
          <w:szCs w:val="15"/>
          <w:highlight w:val="none"/>
          <w:shd w:val="clear" w:color="auto" w:fill="FFFFFF"/>
        </w:rPr>
        <w:t xml:space="preserve"> of </w:t>
      </w:r>
      <w:r>
        <w:rPr>
          <w:rFonts w:hint="default" w:ascii="Times New Roman" w:hAnsi="Times New Roman" w:cs="Times New Roman"/>
          <w:color w:val="auto"/>
          <w:sz w:val="15"/>
          <w:szCs w:val="15"/>
          <w:highlight w:val="none"/>
          <w:shd w:val="clear" w:color="auto" w:fill="FFCCFF"/>
        </w:rPr>
        <w:t>the</w:t>
      </w:r>
      <w:r>
        <w:rPr>
          <w:rFonts w:hint="default" w:ascii="Times New Roman" w:hAnsi="Times New Roman" w:cs="Times New Roman"/>
          <w:color w:val="auto"/>
          <w:sz w:val="15"/>
          <w:szCs w:val="15"/>
          <w:highlight w:val="none"/>
          <w:shd w:val="clear" w:color="auto" w:fill="FFFFFF"/>
        </w:rPr>
        <w:t xml:space="preserve"> </w:t>
      </w:r>
      <w:r>
        <w:rPr>
          <w:rFonts w:hint="default" w:ascii="Times New Roman" w:hAnsi="Times New Roman" w:cs="Times New Roman"/>
          <w:color w:val="auto"/>
          <w:sz w:val="15"/>
          <w:szCs w:val="15"/>
          <w:highlight w:val="none"/>
          <w:shd w:val="clear" w:color="auto" w:fill="FFCCFF"/>
        </w:rPr>
        <w:t>ASABE</w:t>
      </w:r>
      <w:r>
        <w:rPr>
          <w:rFonts w:hint="default" w:ascii="Times New Roman" w:hAnsi="Times New Roman" w:cs="Times New Roman"/>
          <w:color w:val="auto"/>
          <w:sz w:val="15"/>
          <w:szCs w:val="15"/>
          <w:highlight w:val="none"/>
          <w:shd w:val="clear" w:color="auto" w:fill="FFFFFF"/>
        </w:rPr>
        <w:t>, 2007, 50</w:t>
      </w:r>
      <w:r>
        <w:rPr>
          <w:rFonts w:hint="default" w:ascii="Times New Roman" w:hAnsi="Times New Roman" w:cs="Times New Roman"/>
          <w:color w:val="auto"/>
          <w:sz w:val="15"/>
          <w:szCs w:val="15"/>
          <w:highlight w:val="none"/>
          <w:shd w:val="clear" w:color="auto" w:fill="FFCCFF"/>
        </w:rPr>
        <w:t>(3)</w:t>
      </w:r>
      <w:r>
        <w:rPr>
          <w:rFonts w:hint="default" w:ascii="Times New Roman" w:hAnsi="Times New Roman" w:cs="Times New Roman"/>
          <w:color w:val="auto"/>
          <w:sz w:val="15"/>
          <w:szCs w:val="15"/>
          <w:highlight w:val="none"/>
          <w:shd w:val="clear" w:color="auto" w:fill="FFFFFF"/>
        </w:rPr>
        <w:t>: 885-900.</w:t>
      </w:r>
    </w:p>
    <w:p w14:paraId="533105F7">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[31]</w:t>
      </w:r>
      <w:r>
        <w:rPr>
          <w:rFonts w:hint="default" w:ascii="Times New Roman" w:hAnsi="Times New Roman" w:cs="Times New Roman"/>
          <w:color w:val="auto"/>
          <w:sz w:val="15"/>
          <w:szCs w:val="15"/>
          <w:highlight w:val="none"/>
        </w:rPr>
        <w:tab/>
      </w:r>
      <w:r>
        <w:rPr>
          <w:rFonts w:hint="default" w:ascii="Times New Roman" w:hAnsi="Times New Roman" w:cs="Times New Roman"/>
          <w:color w:val="auto"/>
          <w:sz w:val="15"/>
          <w:szCs w:val="15"/>
          <w:highlight w:val="none"/>
        </w:rPr>
        <w:t>GYAMERA E. Hydrological studies of the University of Cape Coast School of Agriculture Research Station at Twifo Wamaso[J]. Global Research Journal of Geography, 2014, 2(1): 10-66.</w:t>
      </w:r>
    </w:p>
    <w:p w14:paraId="4B680095">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[32] AMER</w:t>
      </w:r>
      <w:r>
        <w:rPr>
          <w:rFonts w:hint="default" w:ascii="Times New Roman" w:hAnsi="Times New Roman" w:cs="Times New Roman"/>
          <w:color w:val="auto"/>
          <w:sz w:val="15"/>
          <w:szCs w:val="15"/>
          <w:highlight w:val="none"/>
          <w:shd w:val="clear" w:color="auto" w:fill="FFCCFF"/>
        </w:rPr>
        <w:t xml:space="preserve"> A M</w:t>
      </w:r>
      <w:r>
        <w:rPr>
          <w:rFonts w:hint="default" w:ascii="Times New Roman" w:hAnsi="Times New Roman" w:cs="Times New Roman"/>
          <w:color w:val="auto"/>
          <w:sz w:val="15"/>
          <w:szCs w:val="15"/>
          <w:highlight w:val="none"/>
          <w:shd w:val="clear" w:color="auto" w:fill="FFFFFF"/>
        </w:rPr>
        <w:t xml:space="preserve"> A. Hydraulic conductivity and sorptivity at unsaturated and saturated conditions as related to water infiltration in soils[J]. Eurasian Journal of Soil Science, 2020, 9(1): 1-9.</w:t>
      </w:r>
    </w:p>
    <w:p w14:paraId="5911BB10">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[33] </w:t>
      </w:r>
      <w:r>
        <w:rPr>
          <w:rFonts w:hint="default" w:ascii="Times New Roman" w:hAnsi="Times New Roman" w:cs="Times New Roman"/>
          <w:color w:val="auto"/>
          <w:sz w:val="15"/>
          <w:szCs w:val="15"/>
          <w:highlight w:val="none"/>
          <w:shd w:val="clear" w:color="auto" w:fill="FFCCFF"/>
        </w:rPr>
        <w:t>MORET-FERNÁNDEZ</w:t>
      </w:r>
      <w:r>
        <w:rPr>
          <w:rFonts w:hint="default" w:ascii="Times New Roman" w:hAnsi="Times New Roman" w:cs="Times New Roman"/>
          <w:color w:val="auto"/>
          <w:sz w:val="15"/>
          <w:szCs w:val="15"/>
          <w:highlight w:val="none"/>
          <w:shd w:val="clear" w:color="auto" w:fill="FFFFFF"/>
        </w:rPr>
        <w:t xml:space="preserve"> D, LATORRE B, LASSABATERE L, et al. Sequential infiltration analysis of infiltration curves measured with disc infiltrometer in layered soils[J]. Journal of Hydrology, 2021, 600: </w:t>
      </w:r>
      <w:r>
        <w:rPr>
          <w:rFonts w:hint="default" w:ascii="Times New Roman" w:hAnsi="Times New Roman" w:cs="Times New Roman"/>
          <w:color w:val="auto"/>
          <w:sz w:val="15"/>
          <w:szCs w:val="15"/>
          <w:highlight w:val="none"/>
          <w:shd w:val="clear" w:color="auto" w:fill="FFCCFF"/>
        </w:rPr>
        <w:t>126542</w:t>
      </w:r>
      <w:r>
        <w:rPr>
          <w:rFonts w:hint="default" w:ascii="Times New Roman" w:hAnsi="Times New Roman" w:cs="Times New Roman"/>
          <w:color w:val="auto"/>
          <w:sz w:val="15"/>
          <w:szCs w:val="15"/>
          <w:highlight w:val="none"/>
          <w:shd w:val="clear" w:color="auto" w:fill="FFFFFF"/>
        </w:rPr>
        <w:t>.</w:t>
      </w:r>
    </w:p>
    <w:p w14:paraId="474CA36D">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[34] RITZEMA H</w:t>
      </w:r>
      <w:r>
        <w:rPr>
          <w:rFonts w:hint="default" w:ascii="Times New Roman" w:hAnsi="Times New Roman" w:cs="Times New Roman"/>
          <w:color w:val="auto"/>
          <w:sz w:val="15"/>
          <w:szCs w:val="15"/>
          <w:highlight w:val="none"/>
          <w:shd w:val="clear" w:color="auto" w:fill="FFCCFF"/>
        </w:rPr>
        <w:t xml:space="preserve"> P</w:t>
      </w:r>
      <w:r>
        <w:rPr>
          <w:rFonts w:hint="default" w:ascii="Times New Roman" w:hAnsi="Times New Roman" w:cs="Times New Roman"/>
          <w:color w:val="auto"/>
          <w:sz w:val="15"/>
          <w:szCs w:val="15"/>
          <w:highlight w:val="none"/>
          <w:shd w:val="clear" w:color="auto" w:fill="FFFFFF"/>
        </w:rPr>
        <w:t>, KSELIK R</w:t>
      </w:r>
      <w:r>
        <w:rPr>
          <w:rFonts w:hint="default" w:ascii="Times New Roman" w:hAnsi="Times New Roman" w:cs="Times New Roman"/>
          <w:color w:val="auto"/>
          <w:sz w:val="15"/>
          <w:szCs w:val="15"/>
          <w:highlight w:val="none"/>
          <w:shd w:val="clear" w:color="auto" w:fill="FFCCFF"/>
        </w:rPr>
        <w:t xml:space="preserve"> A L</w:t>
      </w:r>
      <w:r>
        <w:rPr>
          <w:rFonts w:hint="default" w:ascii="Times New Roman" w:hAnsi="Times New Roman" w:cs="Times New Roman"/>
          <w:color w:val="auto"/>
          <w:sz w:val="15"/>
          <w:szCs w:val="15"/>
          <w:highlight w:val="none"/>
          <w:shd w:val="clear" w:color="auto" w:fill="FFFFFF"/>
        </w:rPr>
        <w:t xml:space="preserve">, CHANDUVI F. Drainage of </w:t>
      </w:r>
      <w:r>
        <w:rPr>
          <w:rFonts w:hint="default" w:ascii="Times New Roman" w:hAnsi="Times New Roman" w:cs="Times New Roman"/>
          <w:color w:val="auto"/>
          <w:sz w:val="15"/>
          <w:szCs w:val="15"/>
          <w:highlight w:val="none"/>
          <w:shd w:val="clear" w:color="auto" w:fill="D9D9D9"/>
        </w:rPr>
        <w:t>I</w:t>
      </w:r>
      <w:r>
        <w:rPr>
          <w:rFonts w:hint="default" w:ascii="Times New Roman" w:hAnsi="Times New Roman" w:cs="Times New Roman"/>
          <w:color w:val="auto"/>
          <w:sz w:val="15"/>
          <w:szCs w:val="15"/>
          <w:highlight w:val="none"/>
          <w:shd w:val="clear" w:color="auto" w:fill="FFFFFF"/>
        </w:rPr>
        <w:t xml:space="preserve">rrigated </w:t>
      </w:r>
      <w:r>
        <w:rPr>
          <w:rFonts w:hint="default" w:ascii="Times New Roman" w:hAnsi="Times New Roman" w:cs="Times New Roman"/>
          <w:color w:val="auto"/>
          <w:sz w:val="15"/>
          <w:szCs w:val="15"/>
          <w:highlight w:val="none"/>
          <w:shd w:val="clear" w:color="auto" w:fill="D9D9D9"/>
        </w:rPr>
        <w:t>L</w:t>
      </w:r>
      <w:r>
        <w:rPr>
          <w:rFonts w:hint="default" w:ascii="Times New Roman" w:hAnsi="Times New Roman" w:cs="Times New Roman"/>
          <w:color w:val="auto"/>
          <w:sz w:val="15"/>
          <w:szCs w:val="15"/>
          <w:highlight w:val="none"/>
          <w:shd w:val="clear" w:color="auto" w:fill="FFFFFF"/>
        </w:rPr>
        <w:t>ands[M]. Rome: Food and Agriculture Organization of the United Nations, 1996.</w:t>
      </w:r>
    </w:p>
    <w:p w14:paraId="7468BD0C">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shd w:val="clear" w:color="auto" w:fill="FFFFFF"/>
        </w:rPr>
      </w:pPr>
      <w:r>
        <w:rPr>
          <w:rFonts w:hint="default" w:ascii="Times New Roman" w:hAnsi="Times New Roman" w:cs="Times New Roman"/>
          <w:color w:val="auto"/>
          <w:sz w:val="15"/>
          <w:szCs w:val="15"/>
          <w:highlight w:val="none"/>
          <w:shd w:val="clear" w:color="auto" w:fill="FFFFFF"/>
        </w:rPr>
        <w:t>[35]</w:t>
      </w:r>
      <w:r>
        <w:rPr>
          <w:rFonts w:hint="default" w:ascii="Times New Roman" w:hAnsi="Times New Roman" w:cs="Times New Roman"/>
          <w:color w:val="auto"/>
          <w:sz w:val="15"/>
          <w:szCs w:val="15"/>
          <w:highlight w:val="none"/>
          <w:shd w:val="clear" w:color="auto" w:fill="FFFFFF"/>
        </w:rPr>
        <w:t xml:space="preserve"> PITT R</w:t>
      </w:r>
      <w:r>
        <w:rPr>
          <w:rFonts w:hint="default" w:ascii="Times New Roman" w:hAnsi="Times New Roman" w:cs="Times New Roman"/>
          <w:color w:val="auto"/>
          <w:sz w:val="15"/>
          <w:szCs w:val="15"/>
          <w:highlight w:val="none"/>
          <w:shd w:val="clear" w:color="auto" w:fill="FFCCFF"/>
        </w:rPr>
        <w:t xml:space="preserve"> E</w:t>
      </w:r>
      <w:r>
        <w:rPr>
          <w:rFonts w:hint="default" w:ascii="Times New Roman" w:hAnsi="Times New Roman" w:cs="Times New Roman"/>
          <w:color w:val="auto"/>
          <w:sz w:val="15"/>
          <w:szCs w:val="15"/>
          <w:highlight w:val="none"/>
          <w:shd w:val="clear" w:color="auto" w:fill="FFFFFF"/>
        </w:rPr>
        <w:t>, LANTRIP J</w:t>
      </w:r>
      <w:r>
        <w:rPr>
          <w:rFonts w:hint="default" w:ascii="Times New Roman" w:hAnsi="Times New Roman" w:cs="Times New Roman"/>
          <w:color w:val="auto"/>
          <w:sz w:val="15"/>
          <w:szCs w:val="15"/>
          <w:highlight w:val="none"/>
          <w:shd w:val="clear" w:color="auto" w:fill="FFFFFF"/>
        </w:rPr>
        <w:t>. Infiltration through disturbed urban soils[J]. Journal of Water Management Modeling, 2000</w:t>
      </w:r>
      <w:r>
        <w:rPr>
          <w:rFonts w:hint="default" w:ascii="Times New Roman" w:hAnsi="Times New Roman" w:cs="Times New Roman"/>
          <w:color w:val="auto"/>
          <w:sz w:val="15"/>
          <w:szCs w:val="15"/>
          <w:highlight w:val="none"/>
          <w:shd w:val="clear" w:color="auto" w:fill="FFCCFF"/>
        </w:rPr>
        <w:t>, 104</w:t>
      </w:r>
      <w:r>
        <w:rPr>
          <w:rFonts w:hint="default" w:ascii="Times New Roman" w:hAnsi="Times New Roman" w:cs="Times New Roman"/>
          <w:color w:val="auto"/>
          <w:sz w:val="15"/>
          <w:szCs w:val="15"/>
          <w:highlight w:val="none"/>
          <w:shd w:val="clear" w:color="auto" w:fill="FFFFFF"/>
        </w:rPr>
        <w:t xml:space="preserve">: </w:t>
      </w:r>
      <w:r>
        <w:rPr>
          <w:rFonts w:hint="default" w:ascii="Times New Roman" w:hAnsi="Times New Roman" w:cs="Times New Roman"/>
          <w:color w:val="auto"/>
          <w:sz w:val="15"/>
          <w:szCs w:val="15"/>
          <w:highlight w:val="none"/>
          <w:shd w:val="clear" w:color="auto" w:fill="FFCCFF"/>
        </w:rPr>
        <w:t>1</w:t>
      </w:r>
      <w:r>
        <w:rPr>
          <w:rFonts w:hint="default" w:ascii="Times New Roman" w:hAnsi="Times New Roman" w:cs="Times New Roman"/>
          <w:color w:val="auto"/>
          <w:sz w:val="15"/>
          <w:szCs w:val="15"/>
          <w:highlight w:val="none"/>
          <w:shd w:val="clear" w:color="auto" w:fill="FFFFFF"/>
        </w:rPr>
        <w:t>-</w:t>
      </w:r>
      <w:r>
        <w:rPr>
          <w:rFonts w:hint="default" w:ascii="Times New Roman" w:hAnsi="Times New Roman" w:cs="Times New Roman"/>
          <w:color w:val="auto"/>
          <w:sz w:val="15"/>
          <w:szCs w:val="15"/>
          <w:highlight w:val="none"/>
          <w:shd w:val="clear" w:color="auto" w:fill="FFCCFF"/>
        </w:rPr>
        <w:t>10</w:t>
      </w:r>
      <w:r>
        <w:rPr>
          <w:rFonts w:hint="default" w:ascii="Times New Roman" w:hAnsi="Times New Roman" w:cs="Times New Roman"/>
          <w:color w:val="auto"/>
          <w:sz w:val="15"/>
          <w:szCs w:val="15"/>
          <w:highlight w:val="none"/>
          <w:shd w:val="clear" w:color="auto" w:fill="FFFFFF"/>
        </w:rPr>
        <w:t>.</w:t>
      </w:r>
    </w:p>
    <w:p w14:paraId="08D43879">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[36] HORTON R</w:t>
      </w:r>
      <w:r>
        <w:rPr>
          <w:rFonts w:hint="default" w:ascii="Times New Roman" w:hAnsi="Times New Roman" w:cs="Times New Roman"/>
          <w:color w:val="auto"/>
          <w:sz w:val="15"/>
          <w:szCs w:val="15"/>
          <w:highlight w:val="none"/>
          <w:shd w:val="clear" w:color="auto" w:fill="FFCCFF"/>
        </w:rPr>
        <w:t xml:space="preserve"> E</w:t>
      </w:r>
      <w:r>
        <w:rPr>
          <w:rFonts w:hint="default" w:ascii="Times New Roman" w:hAnsi="Times New Roman" w:cs="Times New Roman"/>
          <w:color w:val="auto"/>
          <w:sz w:val="15"/>
          <w:szCs w:val="15"/>
          <w:highlight w:val="none"/>
          <w:shd w:val="clear" w:color="auto" w:fill="FFFFFF"/>
        </w:rPr>
        <w:t>. An approach toward a physical interpretation of infiltration-capacity[J]. Soil Science</w:t>
      </w:r>
      <w:r>
        <w:rPr>
          <w:rFonts w:hint="default" w:ascii="Times New Roman" w:hAnsi="Times New Roman" w:cs="Times New Roman"/>
          <w:color w:val="auto"/>
          <w:sz w:val="15"/>
          <w:szCs w:val="15"/>
          <w:highlight w:val="none"/>
          <w:shd w:val="clear" w:color="auto" w:fill="FFCCFF"/>
        </w:rPr>
        <w:t xml:space="preserve"> Society of America Journal</w:t>
      </w:r>
      <w:r>
        <w:rPr>
          <w:rFonts w:hint="default" w:ascii="Times New Roman" w:hAnsi="Times New Roman" w:cs="Times New Roman"/>
          <w:color w:val="auto"/>
          <w:sz w:val="15"/>
          <w:szCs w:val="15"/>
          <w:highlight w:val="none"/>
          <w:shd w:val="clear" w:color="auto" w:fill="FFFFFF"/>
        </w:rPr>
        <w:t xml:space="preserve">, </w:t>
      </w:r>
      <w:r>
        <w:rPr>
          <w:rFonts w:hint="default" w:ascii="Times New Roman" w:hAnsi="Times New Roman" w:cs="Times New Roman"/>
          <w:color w:val="auto"/>
          <w:sz w:val="15"/>
          <w:szCs w:val="15"/>
          <w:highlight w:val="none"/>
          <w:shd w:val="clear" w:color="auto" w:fill="FFCCFF"/>
        </w:rPr>
        <w:t>1941, 5</w:t>
      </w:r>
      <w:r>
        <w:rPr>
          <w:rFonts w:hint="default" w:ascii="Times New Roman" w:hAnsi="Times New Roman" w:cs="Times New Roman"/>
          <w:color w:val="auto"/>
          <w:sz w:val="15"/>
          <w:szCs w:val="15"/>
          <w:highlight w:val="none"/>
          <w:shd w:val="clear" w:color="auto" w:fill="FFFFFF"/>
        </w:rPr>
        <w:t>: 399-417.</w:t>
      </w:r>
    </w:p>
    <w:p w14:paraId="5BA551FA">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[37] HSU S</w:t>
      </w:r>
      <w:r>
        <w:rPr>
          <w:rFonts w:hint="default" w:ascii="Times New Roman" w:hAnsi="Times New Roman" w:cs="Times New Roman"/>
          <w:color w:val="auto"/>
          <w:sz w:val="15"/>
          <w:szCs w:val="15"/>
          <w:highlight w:val="none"/>
          <w:shd w:val="clear" w:color="auto" w:fill="FFCCFF"/>
        </w:rPr>
        <w:t xml:space="preserve"> M</w:t>
      </w:r>
      <w:r>
        <w:rPr>
          <w:rFonts w:hint="default" w:ascii="Times New Roman" w:hAnsi="Times New Roman" w:cs="Times New Roman"/>
          <w:color w:val="auto"/>
          <w:sz w:val="15"/>
          <w:szCs w:val="15"/>
          <w:highlight w:val="none"/>
          <w:shd w:val="clear" w:color="auto" w:fill="FFFFFF"/>
        </w:rPr>
        <w:t>, NI C</w:t>
      </w:r>
      <w:r>
        <w:rPr>
          <w:rFonts w:hint="default" w:ascii="Times New Roman" w:hAnsi="Times New Roman" w:cs="Times New Roman"/>
          <w:color w:val="auto"/>
          <w:sz w:val="15"/>
          <w:szCs w:val="15"/>
          <w:highlight w:val="none"/>
          <w:shd w:val="clear" w:color="auto" w:fill="FFCCFF"/>
        </w:rPr>
        <w:t xml:space="preserve"> F</w:t>
      </w:r>
      <w:r>
        <w:rPr>
          <w:rFonts w:hint="default" w:ascii="Times New Roman" w:hAnsi="Times New Roman" w:cs="Times New Roman"/>
          <w:color w:val="auto"/>
          <w:sz w:val="15"/>
          <w:szCs w:val="15"/>
          <w:highlight w:val="none"/>
          <w:shd w:val="clear" w:color="auto" w:fill="FFFFFF"/>
        </w:rPr>
        <w:t>, HUNG P</w:t>
      </w:r>
      <w:r>
        <w:rPr>
          <w:rFonts w:hint="default" w:ascii="Times New Roman" w:hAnsi="Times New Roman" w:cs="Times New Roman"/>
          <w:color w:val="auto"/>
          <w:sz w:val="15"/>
          <w:szCs w:val="15"/>
          <w:highlight w:val="none"/>
          <w:shd w:val="clear" w:color="auto" w:fill="FFCCFF"/>
        </w:rPr>
        <w:t xml:space="preserve"> F</w:t>
      </w:r>
      <w:r>
        <w:rPr>
          <w:rFonts w:hint="default" w:ascii="Times New Roman" w:hAnsi="Times New Roman" w:cs="Times New Roman"/>
          <w:color w:val="auto"/>
          <w:sz w:val="15"/>
          <w:szCs w:val="15"/>
          <w:highlight w:val="none"/>
          <w:shd w:val="clear" w:color="auto" w:fill="FFFFFF"/>
        </w:rPr>
        <w:t xml:space="preserve">. Assessment of three infiltration formulas based on model fitting on </w:t>
      </w:r>
      <w:r>
        <w:rPr>
          <w:rFonts w:hint="default" w:ascii="Times New Roman" w:hAnsi="Times New Roman" w:cs="Times New Roman"/>
          <w:color w:val="auto"/>
          <w:sz w:val="15"/>
          <w:szCs w:val="15"/>
          <w:highlight w:val="none"/>
          <w:shd w:val="clear" w:color="auto" w:fill="D9D9D9"/>
        </w:rPr>
        <w:t>R</w:t>
      </w:r>
      <w:r>
        <w:rPr>
          <w:rFonts w:hint="default" w:ascii="Times New Roman" w:hAnsi="Times New Roman" w:cs="Times New Roman"/>
          <w:color w:val="auto"/>
          <w:sz w:val="15"/>
          <w:szCs w:val="15"/>
          <w:highlight w:val="none"/>
          <w:shd w:val="clear" w:color="auto" w:fill="FFFFFF"/>
        </w:rPr>
        <w:t xml:space="preserve">ichards equation[J]. Journal of Hydrologic Engineering, </w:t>
      </w:r>
      <w:r>
        <w:rPr>
          <w:rFonts w:hint="default" w:ascii="Times New Roman" w:hAnsi="Times New Roman" w:cs="Times New Roman"/>
          <w:color w:val="auto"/>
          <w:sz w:val="15"/>
          <w:szCs w:val="15"/>
          <w:highlight w:val="none"/>
          <w:shd w:val="clear" w:color="auto" w:fill="FFCCFF"/>
        </w:rPr>
        <w:t>2002</w:t>
      </w:r>
      <w:r>
        <w:rPr>
          <w:rFonts w:hint="default" w:ascii="Times New Roman" w:hAnsi="Times New Roman" w:cs="Times New Roman"/>
          <w:color w:val="auto"/>
          <w:sz w:val="15"/>
          <w:szCs w:val="15"/>
          <w:highlight w:val="none"/>
          <w:shd w:val="clear" w:color="auto" w:fill="FFFFFF"/>
        </w:rPr>
        <w:t>, 7(5): 373-379.</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"https://doi.org/10.1061/(asce)1084-0699(2002)7:5(373)"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27B7A999">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[38] TASHAYO B, HONARBAKHSH A, AKBARI M, et al. Digital mapping of P</w:t>
      </w:r>
      <w:r>
        <w:rPr>
          <w:rFonts w:hint="default" w:ascii="Times New Roman" w:hAnsi="Times New Roman" w:cs="Times New Roman"/>
          <w:color w:val="auto"/>
          <w:sz w:val="15"/>
          <w:szCs w:val="15"/>
          <w:highlight w:val="none"/>
          <w:shd w:val="clear" w:color="auto" w:fill="D9D9D9"/>
        </w:rPr>
        <w:t>hilip</w:t>
      </w:r>
      <w:r>
        <w:rPr>
          <w:rFonts w:hint="default" w:ascii="Times New Roman" w:hAnsi="Times New Roman" w:cs="Times New Roman"/>
          <w:color w:val="auto"/>
          <w:sz w:val="15"/>
          <w:szCs w:val="15"/>
          <w:highlight w:val="none"/>
          <w:shd w:val="clear" w:color="auto" w:fill="FFFFFF"/>
        </w:rPr>
        <w:t xml:space="preserve"> model parameters for prediction of water infiltration at the watershed scale</w:t>
      </w:r>
      <w:r>
        <w:rPr>
          <w:rFonts w:hint="default" w:ascii="Times New Roman" w:hAnsi="Times New Roman" w:cs="Times New Roman"/>
          <w:color w:val="auto"/>
          <w:sz w:val="15"/>
          <w:szCs w:val="15"/>
          <w:highlight w:val="none"/>
          <w:shd w:val="clear" w:color="auto" w:fill="FFCCFF"/>
        </w:rPr>
        <w:t xml:space="preserve"> in a semi-arid region of Iran</w:t>
      </w:r>
      <w:r>
        <w:rPr>
          <w:rFonts w:hint="default" w:ascii="Times New Roman" w:hAnsi="Times New Roman" w:cs="Times New Roman"/>
          <w:color w:val="auto"/>
          <w:sz w:val="15"/>
          <w:szCs w:val="15"/>
          <w:highlight w:val="none"/>
          <w:shd w:val="clear" w:color="auto" w:fill="FFFFFF"/>
        </w:rPr>
        <w:t>[J]. Geoderma Regional, 2020</w:t>
      </w:r>
      <w:r>
        <w:rPr>
          <w:rFonts w:hint="default" w:ascii="Times New Roman" w:hAnsi="Times New Roman" w:cs="Times New Roman"/>
          <w:color w:val="auto"/>
          <w:sz w:val="15"/>
          <w:szCs w:val="15"/>
          <w:highlight w:val="none"/>
          <w:shd w:val="clear" w:color="auto" w:fill="FFCCFF"/>
        </w:rPr>
        <w:t>, 22: e00301</w:t>
      </w:r>
      <w:r>
        <w:rPr>
          <w:rFonts w:hint="default" w:ascii="Times New Roman" w:hAnsi="Times New Roman" w:cs="Times New Roman"/>
          <w:color w:val="auto"/>
          <w:sz w:val="15"/>
          <w:szCs w:val="15"/>
          <w:highlight w:val="none"/>
          <w:shd w:val="clear" w:color="auto" w:fill="FFFFFF"/>
        </w:rPr>
        <w:t>.</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"https://doi.org/10.1016/j.geodrs.2020.e00301"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35B83A7C">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[39]</w:t>
      </w:r>
      <w:r>
        <w:rPr>
          <w:rFonts w:hint="default" w:ascii="Times New Roman" w:hAnsi="Times New Roman" w:cs="Times New Roman"/>
          <w:color w:val="auto"/>
          <w:sz w:val="15"/>
          <w:szCs w:val="15"/>
          <w:highlight w:val="none"/>
          <w:shd w:val="clear" w:color="auto" w:fill="FFCCFF"/>
        </w:rPr>
        <w:t xml:space="preserve"> GHORBANI</w:t>
      </w:r>
      <w:r>
        <w:rPr>
          <w:rFonts w:hint="default" w:ascii="Times New Roman" w:hAnsi="Times New Roman" w:cs="Times New Roman"/>
          <w:color w:val="auto"/>
          <w:sz w:val="15"/>
          <w:szCs w:val="15"/>
          <w:highlight w:val="none"/>
          <w:shd w:val="clear" w:color="auto" w:fill="FFFFFF"/>
        </w:rPr>
        <w:t xml:space="preserve"> DASHTAKI S, HOMAEE M, MAHDIAN M</w:t>
      </w:r>
      <w:r>
        <w:rPr>
          <w:rFonts w:hint="default" w:ascii="Times New Roman" w:hAnsi="Times New Roman" w:cs="Times New Roman"/>
          <w:color w:val="auto"/>
          <w:sz w:val="15"/>
          <w:szCs w:val="15"/>
          <w:highlight w:val="none"/>
          <w:shd w:val="clear" w:color="auto" w:fill="FFCCFF"/>
        </w:rPr>
        <w:t xml:space="preserve"> H</w:t>
      </w:r>
      <w:r>
        <w:rPr>
          <w:rFonts w:hint="default" w:ascii="Times New Roman" w:hAnsi="Times New Roman" w:cs="Times New Roman"/>
          <w:color w:val="auto"/>
          <w:sz w:val="15"/>
          <w:szCs w:val="15"/>
          <w:highlight w:val="none"/>
          <w:shd w:val="clear" w:color="auto" w:fill="FFFFFF"/>
        </w:rPr>
        <w:t>, et al. Site-</w:t>
      </w:r>
      <w:r>
        <w:rPr>
          <w:rFonts w:hint="default" w:ascii="Times New Roman" w:hAnsi="Times New Roman" w:cs="Times New Roman"/>
          <w:color w:val="auto"/>
          <w:sz w:val="15"/>
          <w:szCs w:val="15"/>
          <w:highlight w:val="none"/>
          <w:shd w:val="clear" w:color="auto" w:fill="FFCCFF"/>
        </w:rPr>
        <w:t>dependence</w:t>
      </w:r>
      <w:r>
        <w:rPr>
          <w:rFonts w:hint="default" w:ascii="Times New Roman" w:hAnsi="Times New Roman" w:cs="Times New Roman"/>
          <w:color w:val="auto"/>
          <w:sz w:val="15"/>
          <w:szCs w:val="15"/>
          <w:highlight w:val="none"/>
          <w:shd w:val="clear" w:color="auto" w:fill="FFFFFF"/>
        </w:rPr>
        <w:t xml:space="preserve"> performance of infiltration models[J]. Water Resources Management, 2009, 23</w:t>
      </w:r>
      <w:r>
        <w:rPr>
          <w:rFonts w:hint="default" w:ascii="Times New Roman" w:hAnsi="Times New Roman" w:cs="Times New Roman"/>
          <w:color w:val="auto"/>
          <w:sz w:val="15"/>
          <w:szCs w:val="15"/>
          <w:highlight w:val="none"/>
          <w:shd w:val="clear" w:color="auto" w:fill="FFCCFF"/>
        </w:rPr>
        <w:t>(13)</w:t>
      </w:r>
      <w:r>
        <w:rPr>
          <w:rFonts w:hint="default" w:ascii="Times New Roman" w:hAnsi="Times New Roman" w:cs="Times New Roman"/>
          <w:color w:val="auto"/>
          <w:sz w:val="15"/>
          <w:szCs w:val="15"/>
          <w:highlight w:val="none"/>
          <w:shd w:val="clear" w:color="auto" w:fill="FFFFFF"/>
        </w:rPr>
        <w:t>: 2777-2790.</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"http://dx.doi.org/10.1007/s11269-009-9408-3"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2B15201C">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[40] THOMAS A</w:t>
      </w:r>
      <w:r>
        <w:rPr>
          <w:rFonts w:hint="default" w:ascii="Times New Roman" w:hAnsi="Times New Roman" w:cs="Times New Roman"/>
          <w:color w:val="auto"/>
          <w:sz w:val="15"/>
          <w:szCs w:val="15"/>
          <w:highlight w:val="none"/>
          <w:shd w:val="clear" w:color="auto" w:fill="FFCCFF"/>
        </w:rPr>
        <w:t xml:space="preserve"> D</w:t>
      </w:r>
      <w:r>
        <w:rPr>
          <w:rFonts w:hint="default" w:ascii="Times New Roman" w:hAnsi="Times New Roman" w:cs="Times New Roman"/>
          <w:color w:val="auto"/>
          <w:sz w:val="15"/>
          <w:szCs w:val="15"/>
          <w:highlight w:val="none"/>
          <w:shd w:val="clear" w:color="auto" w:fill="FFFFFF"/>
        </w:rPr>
        <w:t>, OFOSU A</w:t>
      </w:r>
      <w:r>
        <w:rPr>
          <w:rFonts w:hint="default" w:ascii="Times New Roman" w:hAnsi="Times New Roman" w:cs="Times New Roman"/>
          <w:color w:val="auto"/>
          <w:sz w:val="15"/>
          <w:szCs w:val="15"/>
          <w:highlight w:val="none"/>
          <w:shd w:val="clear" w:color="auto" w:fill="FFCCFF"/>
        </w:rPr>
        <w:t xml:space="preserve"> E</w:t>
      </w:r>
      <w:r>
        <w:rPr>
          <w:rFonts w:hint="default" w:ascii="Times New Roman" w:hAnsi="Times New Roman" w:cs="Times New Roman"/>
          <w:color w:val="auto"/>
          <w:sz w:val="15"/>
          <w:szCs w:val="15"/>
          <w:highlight w:val="none"/>
          <w:shd w:val="clear" w:color="auto" w:fill="FFFFFF"/>
        </w:rPr>
        <w:t>, EMMANUEL A, et al. Comparison and estimation of four infiltration</w:t>
      </w:r>
      <w:r>
        <w:rPr>
          <w:rFonts w:hint="default" w:ascii="Times New Roman" w:hAnsi="Times New Roman" w:cs="Times New Roman"/>
          <w:color w:val="auto"/>
          <w:sz w:val="15"/>
          <w:szCs w:val="15"/>
          <w:highlight w:val="none"/>
          <w:shd w:val="clear" w:color="auto" w:fill="FFCCFF"/>
        </w:rPr>
        <w:t xml:space="preserve"> models</w:t>
      </w:r>
      <w:r>
        <w:rPr>
          <w:rFonts w:hint="default" w:ascii="Times New Roman" w:hAnsi="Times New Roman" w:cs="Times New Roman"/>
          <w:color w:val="auto"/>
          <w:sz w:val="15"/>
          <w:szCs w:val="15"/>
          <w:highlight w:val="none"/>
          <w:shd w:val="clear" w:color="auto" w:fill="FFFFFF"/>
        </w:rPr>
        <w:t>[J]. Open Journal of Soil Science, 2020, 10</w:t>
      </w:r>
      <w:r>
        <w:rPr>
          <w:rFonts w:hint="default" w:ascii="Times New Roman" w:hAnsi="Times New Roman" w:cs="Times New Roman"/>
          <w:color w:val="auto"/>
          <w:sz w:val="15"/>
          <w:szCs w:val="15"/>
          <w:highlight w:val="none"/>
          <w:shd w:val="clear" w:color="auto" w:fill="FFCCFF"/>
        </w:rPr>
        <w:t>(2)</w:t>
      </w:r>
      <w:r>
        <w:rPr>
          <w:rFonts w:hint="default" w:ascii="Times New Roman" w:hAnsi="Times New Roman" w:cs="Times New Roman"/>
          <w:color w:val="auto"/>
          <w:sz w:val="15"/>
          <w:szCs w:val="15"/>
          <w:highlight w:val="none"/>
          <w:shd w:val="clear" w:color="auto" w:fill="FFFFFF"/>
        </w:rPr>
        <w:t>: 45-57.</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"https://doi.org/10.4236/ojss.2020.102003"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6467B881">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[41] WOPEREIS M C S, WÖSTEN J H M, BOUMA J, et al. Hydraulic resistance in puddled rice soils: </w:t>
      </w:r>
      <w:r>
        <w:rPr>
          <w:rFonts w:hint="default" w:ascii="Times New Roman" w:hAnsi="Times New Roman" w:cs="Times New Roman"/>
          <w:color w:val="auto"/>
          <w:sz w:val="15"/>
          <w:szCs w:val="15"/>
          <w:highlight w:val="none"/>
          <w:shd w:val="clear" w:color="auto" w:fill="D9D9D9"/>
        </w:rPr>
        <w:t>M</w:t>
      </w:r>
      <w:r>
        <w:rPr>
          <w:rFonts w:hint="default" w:ascii="Times New Roman" w:hAnsi="Times New Roman" w:cs="Times New Roman"/>
          <w:color w:val="auto"/>
          <w:sz w:val="15"/>
          <w:szCs w:val="15"/>
          <w:highlight w:val="none"/>
          <w:shd w:val="clear" w:color="auto" w:fill="FFFFFF"/>
        </w:rPr>
        <w:t>easurement and effects on water movement[J]. Soil and Tillage Research, 1992, 24(3): 199-209.</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"http://dx.doi.org/10.1016/0167-1987(92)90087-R"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1C323B63">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[42] JANSSEN M, LENNARTZ B. Horizontal and vertical water and solute fluxes in paddy rice fields[J]. Soil and Tillage Research, 2007, 94(1): 133-141.</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"http://dx.doi.org/10.1016/j.still.2006.07.010"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36C1AFAC">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shd w:val="clear" w:color="auto" w:fill="FFFFFF"/>
        </w:rPr>
        <w:t xml:space="preserve">[43] MAPA R B. The </w:t>
      </w:r>
      <w:r>
        <w:rPr>
          <w:rFonts w:hint="default" w:ascii="Times New Roman" w:hAnsi="Times New Roman" w:cs="Times New Roman"/>
          <w:color w:val="auto"/>
          <w:sz w:val="15"/>
          <w:szCs w:val="15"/>
          <w:highlight w:val="none"/>
          <w:shd w:val="clear" w:color="auto" w:fill="D9D9D9"/>
        </w:rPr>
        <w:t>S</w:t>
      </w:r>
      <w:r>
        <w:rPr>
          <w:rFonts w:hint="default" w:ascii="Times New Roman" w:hAnsi="Times New Roman" w:cs="Times New Roman"/>
          <w:color w:val="auto"/>
          <w:sz w:val="15"/>
          <w:szCs w:val="15"/>
          <w:highlight w:val="none"/>
          <w:shd w:val="clear" w:color="auto" w:fill="FFFFFF"/>
        </w:rPr>
        <w:t xml:space="preserve">oils of Sri Lanka[M]. Cham: Springer </w:t>
      </w:r>
      <w:r>
        <w:rPr>
          <w:rFonts w:hint="default" w:ascii="Times New Roman" w:hAnsi="Times New Roman" w:cs="Times New Roman"/>
          <w:color w:val="auto"/>
          <w:sz w:val="15"/>
          <w:szCs w:val="15"/>
          <w:highlight w:val="none"/>
          <w:shd w:val="clear" w:color="auto" w:fill="FFCCFF"/>
        </w:rPr>
        <w:t>International Publishing</w:t>
      </w:r>
      <w:r>
        <w:rPr>
          <w:rFonts w:hint="default" w:ascii="Times New Roman" w:hAnsi="Times New Roman" w:cs="Times New Roman"/>
          <w:color w:val="auto"/>
          <w:sz w:val="15"/>
          <w:szCs w:val="15"/>
          <w:highlight w:val="none"/>
          <w:shd w:val="clear" w:color="auto" w:fill="FFFFFF"/>
        </w:rPr>
        <w:t>, 2020.</w:t>
      </w:r>
      <w:r>
        <w:rPr>
          <w:rFonts w:hint="default" w:ascii="Times New Roman" w:hAnsi="Times New Roman" w:cs="Times New Roman"/>
          <w:color w:val="auto"/>
          <w:sz w:val="15"/>
          <w:szCs w:val="15"/>
          <w:highlight w:val="none"/>
        </w:rPr>
        <w:fldChar w:fldCharType="begin"/>
      </w:r>
      <w:r>
        <w:rPr>
          <w:rFonts w:hint="default" w:ascii="Times New Roman" w:hAnsi="Times New Roman" w:cs="Times New Roman"/>
          <w:color w:val="auto"/>
          <w:sz w:val="15"/>
          <w:szCs w:val="15"/>
          <w:highlight w:val="none"/>
        </w:rPr>
        <w:instrText xml:space="preserve"> HYPERLINK "https://doi.org/10.1007/978-3-030-44144-9" \o "自助复核" </w:instrText>
      </w:r>
      <w:r>
        <w:rPr>
          <w:rFonts w:hint="default" w:ascii="Times New Roman" w:hAnsi="Times New Roman" w:cs="Times New Roman"/>
          <w:color w:val="auto"/>
          <w:sz w:val="15"/>
          <w:szCs w:val="15"/>
          <w:highlight w:val="none"/>
        </w:rPr>
        <w:fldChar w:fldCharType="separate"/>
      </w:r>
      <w:r>
        <w:rPr>
          <w:rStyle w:val="26"/>
          <w:rFonts w:hint="default" w:ascii="Times New Roman" w:hAnsi="Times New Roman" w:cs="Times New Roman"/>
          <w:color w:val="auto"/>
          <w:sz w:val="15"/>
          <w:szCs w:val="15"/>
          <w:highlight w:val="none"/>
        </w:rPr>
        <w:fldChar w:fldCharType="end"/>
      </w:r>
    </w:p>
    <w:p w14:paraId="3F7D1893">
      <w:pPr>
        <w:keepNext w:val="0"/>
        <w:keepLines w:val="0"/>
        <w:pageBreakBefore w:val="0"/>
        <w:widowControl/>
        <w:kinsoku/>
        <w:wordWrap/>
        <w:overflowPunct/>
        <w:topLinePunct w:val="0"/>
        <w:autoSpaceDE/>
        <w:autoSpaceDN/>
        <w:bidi w:val="0"/>
        <w:adjustRightInd/>
        <w:snapToGrid w:val="0"/>
        <w:spacing w:after="0" w:line="360" w:lineRule="auto"/>
        <w:ind w:left="0" w:firstLine="0"/>
        <w:jc w:val="both"/>
        <w:textAlignment w:val="auto"/>
        <w:rPr>
          <w:rFonts w:hint="default" w:ascii="Times New Roman" w:hAnsi="Times New Roman" w:cs="Times New Roman"/>
          <w:color w:val="auto"/>
          <w:sz w:val="15"/>
          <w:szCs w:val="15"/>
          <w:highlight w:val="none"/>
        </w:rPr>
      </w:pPr>
    </w:p>
    <w:p w14:paraId="0104B00D">
      <w:pPr>
        <w:pStyle w:val="2"/>
        <w:keepNext w:val="0"/>
        <w:keepLines w:val="0"/>
        <w:pageBreakBefore w:val="0"/>
        <w:widowControl/>
        <w:kinsoku/>
        <w:wordWrap/>
        <w:overflowPunct/>
        <w:topLinePunct w:val="0"/>
        <w:autoSpaceDE/>
        <w:autoSpaceDN/>
        <w:bidi w:val="0"/>
        <w:adjustRightInd/>
        <w:snapToGrid w:val="0"/>
        <w:ind w:left="0" w:firstLine="0"/>
        <w:textAlignment w:val="auto"/>
        <w:rPr>
          <w:rFonts w:hint="default" w:ascii="Times New Roman" w:hAnsi="Times New Roman" w:cs="Times New Roman"/>
          <w:color w:val="auto"/>
          <w:sz w:val="15"/>
          <w:szCs w:val="15"/>
          <w:highlight w:val="none"/>
          <w:lang w:eastAsia="zh-CN"/>
        </w:rPr>
      </w:pPr>
    </w:p>
    <w:sectPr>
      <w:pgSz w:w="11906" w:h="16838"/>
      <w:pgMar w:top="1440" w:right="1440" w:bottom="1080" w:left="1440"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Iskoola Pota">
    <w:altName w:val="C059"/>
    <w:panose1 w:val="00000000000000000000"/>
    <w:charset w:val="00"/>
    <w:family w:val="swiss"/>
    <w:pitch w:val="default"/>
    <w:sig w:usb0="00000000" w:usb1="00000000" w:usb2="00000200" w:usb3="00000000" w:csb0="00000001" w:csb1="00000000"/>
  </w:font>
  <w:font w:name="C059">
    <w:panose1 w:val="00000500000000000000"/>
    <w:charset w:val="00"/>
    <w:family w:val="auto"/>
    <w:pitch w:val="default"/>
    <w:sig w:usb0="00000287" w:usb1="00000800" w:usb2="00000000" w:usb3="00000000" w:csb0="6000009F" w:csb1="00000000"/>
  </w:font>
  <w:font w:name="Calibri Light">
    <w:altName w:val="Times New Roman"/>
    <w:panose1 w:val="020F0302020204030204"/>
    <w:charset w:val="00"/>
    <w:family w:val="swiss"/>
    <w:pitch w:val="default"/>
    <w:sig w:usb0="00000000" w:usb1="00000000" w:usb2="00000009" w:usb3="00000000" w:csb0="000001FF" w:csb1="00000000"/>
  </w:font>
  <w:font w:name="等线 Light">
    <w:altName w:val="宋体"/>
    <w:panose1 w:val="02010600030101010101"/>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等线">
    <w:altName w:val="微软雅黑"/>
    <w:panose1 w:val="02010600030101010101"/>
    <w:charset w:val="86"/>
    <w:family w:val="auto"/>
    <w:pitch w:val="default"/>
    <w:sig w:usb0="00000000" w:usb1="00000000" w:usb2="00000016" w:usb3="00000000" w:csb0="0004000F" w:csb1="00000000"/>
  </w:font>
  <w:font w:name="Segoe UI Symbol">
    <w:altName w:val="Noto Sans"/>
    <w:panose1 w:val="020B0502040204020203"/>
    <w:charset w:val="00"/>
    <w:family w:val="swiss"/>
    <w:pitch w:val="default"/>
    <w:sig w:usb0="00000000" w:usb1="00000000" w:usb2="00040000" w:usb3="00000000" w:csb0="00000001" w:csb1="00000000"/>
  </w:font>
  <w:font w:name="Noto Sans">
    <w:panose1 w:val="020B0502040504020204"/>
    <w:charset w:val="00"/>
    <w:family w:val="auto"/>
    <w:pitch w:val="default"/>
    <w:sig w:usb0="E00002FF" w:usb1="4000201F" w:usb2="08000029" w:usb3="00100000" w:csb0="0000019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Microsoft YaHei">
    <w:panose1 w:val="020B0503020204020204"/>
    <w:charset w:val="86"/>
    <w:family w:val="auto"/>
    <w:pitch w:val="default"/>
    <w:sig w:usb0="80000287" w:usb1="2ACF3C50"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 w:name="BatangChe">
    <w:altName w:val="C059"/>
    <w:panose1 w:val="00000000000000000000"/>
    <w:charset w:val="00"/>
    <w:family w:val="auto"/>
    <w:pitch w:val="default"/>
    <w:sig w:usb0="00000000" w:usb1="00000000" w:usb2="00000000" w:usb3="00000000" w:csb0="00000000" w:csb1="00000000"/>
  </w:font>
  <w:font w:name="国标黑体">
    <w:panose1 w:val="02000500000000000000"/>
    <w:charset w:val="86"/>
    <w:family w:val="auto"/>
    <w:pitch w:val="default"/>
    <w:sig w:usb0="00000001" w:usb1="08000000" w:usb2="00000000" w:usb3="00000000" w:csb0="00040000" w:csb1="00000000"/>
  </w:font>
  <w:font w:name="noto sans thai">
    <w:panose1 w:val="020B0502040504020204"/>
    <w:charset w:val="00"/>
    <w:family w:val="auto"/>
    <w:pitch w:val="default"/>
    <w:sig w:usb0="81000063" w:usb1="00002000" w:usb2="00000000" w:usb3="00000000" w:csb0="00010000" w:csb1="00000000"/>
  </w:font>
  <w:font w:name="MS Mincho">
    <w:altName w:val="C059"/>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等线">
    <w:altName w:val="微软雅黑"/>
    <w:panose1 w:val="00000000000000000000"/>
    <w:charset w:val="00"/>
    <w:family w:val="auto"/>
    <w:pitch w:val="default"/>
    <w:sig w:usb0="00000000" w:usb1="00000000" w:usb2="00000000" w:usb3="00000000" w:csb0="00000000" w:csb1="00000000"/>
  </w:font>
  <w:font w:name="FZSS-BJ">
    <w:altName w:val="C059"/>
    <w:panose1 w:val="00000000000000000000"/>
    <w:charset w:val="00"/>
    <w:family w:val="auto"/>
    <w:pitch w:val="default"/>
    <w:sig w:usb0="00000000" w:usb1="00000000" w:usb2="00000000" w:usb3="00000000" w:csb0="00000000" w:csb1="00000000"/>
  </w:font>
  <w:font w:name="FZShuSong-Z01">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C6E"/>
    <w:rsid w:val="000028BA"/>
    <w:rsid w:val="00006E24"/>
    <w:rsid w:val="000071A4"/>
    <w:rsid w:val="00010D6A"/>
    <w:rsid w:val="0001517F"/>
    <w:rsid w:val="000168CE"/>
    <w:rsid w:val="0002395C"/>
    <w:rsid w:val="0002424B"/>
    <w:rsid w:val="000265EF"/>
    <w:rsid w:val="00030625"/>
    <w:rsid w:val="0004448D"/>
    <w:rsid w:val="00045B0E"/>
    <w:rsid w:val="00050CC6"/>
    <w:rsid w:val="00050EB1"/>
    <w:rsid w:val="00062383"/>
    <w:rsid w:val="00062603"/>
    <w:rsid w:val="000637BE"/>
    <w:rsid w:val="00071699"/>
    <w:rsid w:val="00072A5C"/>
    <w:rsid w:val="00073631"/>
    <w:rsid w:val="00074CC9"/>
    <w:rsid w:val="000766DD"/>
    <w:rsid w:val="0009092F"/>
    <w:rsid w:val="00091197"/>
    <w:rsid w:val="00094B90"/>
    <w:rsid w:val="000951C7"/>
    <w:rsid w:val="000A6285"/>
    <w:rsid w:val="000B0832"/>
    <w:rsid w:val="000B273B"/>
    <w:rsid w:val="000C0B0E"/>
    <w:rsid w:val="000C5317"/>
    <w:rsid w:val="000D2929"/>
    <w:rsid w:val="000E0E3F"/>
    <w:rsid w:val="000E2233"/>
    <w:rsid w:val="000E3179"/>
    <w:rsid w:val="000F0D97"/>
    <w:rsid w:val="000F1557"/>
    <w:rsid w:val="0011014D"/>
    <w:rsid w:val="00111346"/>
    <w:rsid w:val="00111F64"/>
    <w:rsid w:val="00114A37"/>
    <w:rsid w:val="001174D5"/>
    <w:rsid w:val="001232CD"/>
    <w:rsid w:val="00123EE7"/>
    <w:rsid w:val="00124279"/>
    <w:rsid w:val="00125B48"/>
    <w:rsid w:val="00126277"/>
    <w:rsid w:val="00126D95"/>
    <w:rsid w:val="00130A23"/>
    <w:rsid w:val="0013456D"/>
    <w:rsid w:val="00142785"/>
    <w:rsid w:val="00142F40"/>
    <w:rsid w:val="00144CF6"/>
    <w:rsid w:val="0014514C"/>
    <w:rsid w:val="001512FC"/>
    <w:rsid w:val="00157384"/>
    <w:rsid w:val="0016211A"/>
    <w:rsid w:val="00166F22"/>
    <w:rsid w:val="00176A61"/>
    <w:rsid w:val="001821BB"/>
    <w:rsid w:val="00190EE9"/>
    <w:rsid w:val="00192CCD"/>
    <w:rsid w:val="001A1E4B"/>
    <w:rsid w:val="001A2701"/>
    <w:rsid w:val="001A3E8A"/>
    <w:rsid w:val="001B434E"/>
    <w:rsid w:val="001C60CB"/>
    <w:rsid w:val="001D2BB0"/>
    <w:rsid w:val="001D32B4"/>
    <w:rsid w:val="001D3709"/>
    <w:rsid w:val="001D72E2"/>
    <w:rsid w:val="001E276D"/>
    <w:rsid w:val="001E2BAA"/>
    <w:rsid w:val="001E65AF"/>
    <w:rsid w:val="001E760B"/>
    <w:rsid w:val="001F040E"/>
    <w:rsid w:val="001F2DE0"/>
    <w:rsid w:val="001F513B"/>
    <w:rsid w:val="002010F0"/>
    <w:rsid w:val="00217969"/>
    <w:rsid w:val="00220EA7"/>
    <w:rsid w:val="002223CB"/>
    <w:rsid w:val="00225247"/>
    <w:rsid w:val="00225899"/>
    <w:rsid w:val="002344D6"/>
    <w:rsid w:val="00237434"/>
    <w:rsid w:val="00240621"/>
    <w:rsid w:val="00244356"/>
    <w:rsid w:val="00251579"/>
    <w:rsid w:val="002545A0"/>
    <w:rsid w:val="00254652"/>
    <w:rsid w:val="00257193"/>
    <w:rsid w:val="002631CC"/>
    <w:rsid w:val="002726B6"/>
    <w:rsid w:val="0027740C"/>
    <w:rsid w:val="002814A6"/>
    <w:rsid w:val="002850B9"/>
    <w:rsid w:val="00287311"/>
    <w:rsid w:val="002914A8"/>
    <w:rsid w:val="002968CB"/>
    <w:rsid w:val="00297129"/>
    <w:rsid w:val="002A15A9"/>
    <w:rsid w:val="002B0326"/>
    <w:rsid w:val="002C29D6"/>
    <w:rsid w:val="002C2E29"/>
    <w:rsid w:val="002C6C6A"/>
    <w:rsid w:val="002C70D3"/>
    <w:rsid w:val="002D3176"/>
    <w:rsid w:val="002E1879"/>
    <w:rsid w:val="002F0599"/>
    <w:rsid w:val="002F0682"/>
    <w:rsid w:val="002F3FA4"/>
    <w:rsid w:val="003047CC"/>
    <w:rsid w:val="003063D7"/>
    <w:rsid w:val="00306CA6"/>
    <w:rsid w:val="0030737C"/>
    <w:rsid w:val="003074EE"/>
    <w:rsid w:val="00307744"/>
    <w:rsid w:val="003116F5"/>
    <w:rsid w:val="00316489"/>
    <w:rsid w:val="00321943"/>
    <w:rsid w:val="003449EB"/>
    <w:rsid w:val="003610D0"/>
    <w:rsid w:val="003753AB"/>
    <w:rsid w:val="003777FD"/>
    <w:rsid w:val="00396392"/>
    <w:rsid w:val="003A157B"/>
    <w:rsid w:val="003A65B2"/>
    <w:rsid w:val="003A6C8C"/>
    <w:rsid w:val="003A7DC6"/>
    <w:rsid w:val="003B56A2"/>
    <w:rsid w:val="003C0E33"/>
    <w:rsid w:val="003C517D"/>
    <w:rsid w:val="003C67AA"/>
    <w:rsid w:val="003D3C5C"/>
    <w:rsid w:val="003D72EE"/>
    <w:rsid w:val="003F3158"/>
    <w:rsid w:val="003F7176"/>
    <w:rsid w:val="0041109F"/>
    <w:rsid w:val="004167BB"/>
    <w:rsid w:val="00420E22"/>
    <w:rsid w:val="004276A4"/>
    <w:rsid w:val="00434052"/>
    <w:rsid w:val="00434519"/>
    <w:rsid w:val="00435657"/>
    <w:rsid w:val="0043781D"/>
    <w:rsid w:val="0044129F"/>
    <w:rsid w:val="00441BCA"/>
    <w:rsid w:val="00457533"/>
    <w:rsid w:val="004624CE"/>
    <w:rsid w:val="00462A3B"/>
    <w:rsid w:val="00470372"/>
    <w:rsid w:val="00470CA3"/>
    <w:rsid w:val="004841D3"/>
    <w:rsid w:val="00486DE7"/>
    <w:rsid w:val="0049151F"/>
    <w:rsid w:val="00491726"/>
    <w:rsid w:val="004931B4"/>
    <w:rsid w:val="004A1A5F"/>
    <w:rsid w:val="004A2782"/>
    <w:rsid w:val="004A3F6F"/>
    <w:rsid w:val="004C04C1"/>
    <w:rsid w:val="004D1F7C"/>
    <w:rsid w:val="004D25B7"/>
    <w:rsid w:val="004F1BFC"/>
    <w:rsid w:val="00500982"/>
    <w:rsid w:val="00510839"/>
    <w:rsid w:val="00510965"/>
    <w:rsid w:val="005128B4"/>
    <w:rsid w:val="00515054"/>
    <w:rsid w:val="00523535"/>
    <w:rsid w:val="00526BD4"/>
    <w:rsid w:val="00527796"/>
    <w:rsid w:val="00532DFA"/>
    <w:rsid w:val="00533961"/>
    <w:rsid w:val="00536704"/>
    <w:rsid w:val="00537776"/>
    <w:rsid w:val="005538CA"/>
    <w:rsid w:val="00557283"/>
    <w:rsid w:val="00570988"/>
    <w:rsid w:val="00570ECA"/>
    <w:rsid w:val="00573926"/>
    <w:rsid w:val="0058015A"/>
    <w:rsid w:val="00581A7C"/>
    <w:rsid w:val="00582D16"/>
    <w:rsid w:val="005842EE"/>
    <w:rsid w:val="0059029B"/>
    <w:rsid w:val="00594EDD"/>
    <w:rsid w:val="00597310"/>
    <w:rsid w:val="005A5DBA"/>
    <w:rsid w:val="005B4BD2"/>
    <w:rsid w:val="005B5925"/>
    <w:rsid w:val="005C0425"/>
    <w:rsid w:val="005C1354"/>
    <w:rsid w:val="005C194D"/>
    <w:rsid w:val="005C712F"/>
    <w:rsid w:val="005E7100"/>
    <w:rsid w:val="005F1539"/>
    <w:rsid w:val="005F4207"/>
    <w:rsid w:val="00610238"/>
    <w:rsid w:val="0062450A"/>
    <w:rsid w:val="00630152"/>
    <w:rsid w:val="006347D0"/>
    <w:rsid w:val="0063481B"/>
    <w:rsid w:val="006367BA"/>
    <w:rsid w:val="00641167"/>
    <w:rsid w:val="00641A8B"/>
    <w:rsid w:val="0064286B"/>
    <w:rsid w:val="006501CF"/>
    <w:rsid w:val="00655CEA"/>
    <w:rsid w:val="00656397"/>
    <w:rsid w:val="00665F49"/>
    <w:rsid w:val="00666A59"/>
    <w:rsid w:val="00666D55"/>
    <w:rsid w:val="00674424"/>
    <w:rsid w:val="00675EA2"/>
    <w:rsid w:val="00681941"/>
    <w:rsid w:val="00685B9F"/>
    <w:rsid w:val="00685F40"/>
    <w:rsid w:val="00686844"/>
    <w:rsid w:val="00694198"/>
    <w:rsid w:val="00694982"/>
    <w:rsid w:val="00695B8A"/>
    <w:rsid w:val="00695FBC"/>
    <w:rsid w:val="006A3581"/>
    <w:rsid w:val="006A3D92"/>
    <w:rsid w:val="006A484B"/>
    <w:rsid w:val="006A65A5"/>
    <w:rsid w:val="006A7C78"/>
    <w:rsid w:val="006B5ECB"/>
    <w:rsid w:val="006D3E03"/>
    <w:rsid w:val="006E3053"/>
    <w:rsid w:val="006E563E"/>
    <w:rsid w:val="0070199A"/>
    <w:rsid w:val="00704AEB"/>
    <w:rsid w:val="007129F6"/>
    <w:rsid w:val="0071369C"/>
    <w:rsid w:val="007202DE"/>
    <w:rsid w:val="00720C26"/>
    <w:rsid w:val="007237CB"/>
    <w:rsid w:val="007267BC"/>
    <w:rsid w:val="00727C8E"/>
    <w:rsid w:val="00731E42"/>
    <w:rsid w:val="007378FC"/>
    <w:rsid w:val="0074145D"/>
    <w:rsid w:val="007500E9"/>
    <w:rsid w:val="00761BD3"/>
    <w:rsid w:val="00762F03"/>
    <w:rsid w:val="00770DBA"/>
    <w:rsid w:val="00773DA1"/>
    <w:rsid w:val="0077673A"/>
    <w:rsid w:val="00776B16"/>
    <w:rsid w:val="00781FD8"/>
    <w:rsid w:val="00782A88"/>
    <w:rsid w:val="00782DBB"/>
    <w:rsid w:val="007A349C"/>
    <w:rsid w:val="007A75C9"/>
    <w:rsid w:val="007B1727"/>
    <w:rsid w:val="007B1CE3"/>
    <w:rsid w:val="007B44B3"/>
    <w:rsid w:val="007B55EC"/>
    <w:rsid w:val="007B78DE"/>
    <w:rsid w:val="007C53AC"/>
    <w:rsid w:val="007C5A99"/>
    <w:rsid w:val="007C6293"/>
    <w:rsid w:val="007C7C76"/>
    <w:rsid w:val="007D16A7"/>
    <w:rsid w:val="007D2572"/>
    <w:rsid w:val="007E0A6F"/>
    <w:rsid w:val="007E725F"/>
    <w:rsid w:val="007F2B3C"/>
    <w:rsid w:val="00804BE7"/>
    <w:rsid w:val="00805762"/>
    <w:rsid w:val="008103FF"/>
    <w:rsid w:val="00813A73"/>
    <w:rsid w:val="0081459A"/>
    <w:rsid w:val="008155A2"/>
    <w:rsid w:val="00816473"/>
    <w:rsid w:val="008211C6"/>
    <w:rsid w:val="00821353"/>
    <w:rsid w:val="00822A0B"/>
    <w:rsid w:val="00822DA6"/>
    <w:rsid w:val="00834789"/>
    <w:rsid w:val="00837571"/>
    <w:rsid w:val="00842EE2"/>
    <w:rsid w:val="008503CD"/>
    <w:rsid w:val="00855B64"/>
    <w:rsid w:val="0085783C"/>
    <w:rsid w:val="00863211"/>
    <w:rsid w:val="00863A8E"/>
    <w:rsid w:val="00867F09"/>
    <w:rsid w:val="008741B1"/>
    <w:rsid w:val="00875B52"/>
    <w:rsid w:val="00876EB5"/>
    <w:rsid w:val="00884FC8"/>
    <w:rsid w:val="008A13CE"/>
    <w:rsid w:val="008A7B73"/>
    <w:rsid w:val="008B3A1F"/>
    <w:rsid w:val="008C7210"/>
    <w:rsid w:val="008C7A34"/>
    <w:rsid w:val="008E224D"/>
    <w:rsid w:val="008E3C41"/>
    <w:rsid w:val="008E47E5"/>
    <w:rsid w:val="008E6A17"/>
    <w:rsid w:val="0090428B"/>
    <w:rsid w:val="00905C70"/>
    <w:rsid w:val="00915131"/>
    <w:rsid w:val="00915F11"/>
    <w:rsid w:val="0092176A"/>
    <w:rsid w:val="0092194D"/>
    <w:rsid w:val="00940EA5"/>
    <w:rsid w:val="00943D2B"/>
    <w:rsid w:val="00947F61"/>
    <w:rsid w:val="00955FB3"/>
    <w:rsid w:val="009661BA"/>
    <w:rsid w:val="00971C5E"/>
    <w:rsid w:val="00974C82"/>
    <w:rsid w:val="00985D2A"/>
    <w:rsid w:val="00986835"/>
    <w:rsid w:val="00991280"/>
    <w:rsid w:val="009A5BD2"/>
    <w:rsid w:val="009B0838"/>
    <w:rsid w:val="009B288C"/>
    <w:rsid w:val="009B46B1"/>
    <w:rsid w:val="009B7721"/>
    <w:rsid w:val="009C1C75"/>
    <w:rsid w:val="009C340D"/>
    <w:rsid w:val="009C5BBE"/>
    <w:rsid w:val="009D02D9"/>
    <w:rsid w:val="009D6C24"/>
    <w:rsid w:val="009E0BE8"/>
    <w:rsid w:val="009E38B6"/>
    <w:rsid w:val="009E4846"/>
    <w:rsid w:val="009F09FE"/>
    <w:rsid w:val="009F1F36"/>
    <w:rsid w:val="009F2AD9"/>
    <w:rsid w:val="009F4CDE"/>
    <w:rsid w:val="00A06DF9"/>
    <w:rsid w:val="00A1396F"/>
    <w:rsid w:val="00A1398C"/>
    <w:rsid w:val="00A14D9C"/>
    <w:rsid w:val="00A27A53"/>
    <w:rsid w:val="00A32BCE"/>
    <w:rsid w:val="00A37FFE"/>
    <w:rsid w:val="00A42F02"/>
    <w:rsid w:val="00A52A38"/>
    <w:rsid w:val="00A52F97"/>
    <w:rsid w:val="00A86F1C"/>
    <w:rsid w:val="00A9060B"/>
    <w:rsid w:val="00A943D0"/>
    <w:rsid w:val="00A963A3"/>
    <w:rsid w:val="00A968A4"/>
    <w:rsid w:val="00AA47E7"/>
    <w:rsid w:val="00AB4602"/>
    <w:rsid w:val="00AB7DA7"/>
    <w:rsid w:val="00AC3168"/>
    <w:rsid w:val="00AC50D1"/>
    <w:rsid w:val="00AE33F2"/>
    <w:rsid w:val="00AE41E5"/>
    <w:rsid w:val="00AE4714"/>
    <w:rsid w:val="00AE5A4A"/>
    <w:rsid w:val="00AF5767"/>
    <w:rsid w:val="00AF64ED"/>
    <w:rsid w:val="00B044ED"/>
    <w:rsid w:val="00B068E3"/>
    <w:rsid w:val="00B107A1"/>
    <w:rsid w:val="00B14810"/>
    <w:rsid w:val="00B14E93"/>
    <w:rsid w:val="00B16810"/>
    <w:rsid w:val="00B21164"/>
    <w:rsid w:val="00B21C85"/>
    <w:rsid w:val="00B22B8D"/>
    <w:rsid w:val="00B27F60"/>
    <w:rsid w:val="00B32791"/>
    <w:rsid w:val="00B350D7"/>
    <w:rsid w:val="00B4423B"/>
    <w:rsid w:val="00B44E82"/>
    <w:rsid w:val="00B51903"/>
    <w:rsid w:val="00B57FC2"/>
    <w:rsid w:val="00B66CFC"/>
    <w:rsid w:val="00B67D3A"/>
    <w:rsid w:val="00B704E3"/>
    <w:rsid w:val="00B768AA"/>
    <w:rsid w:val="00B7752C"/>
    <w:rsid w:val="00B91536"/>
    <w:rsid w:val="00BA65A8"/>
    <w:rsid w:val="00BA7CC2"/>
    <w:rsid w:val="00BB45D0"/>
    <w:rsid w:val="00BB5B73"/>
    <w:rsid w:val="00BC3761"/>
    <w:rsid w:val="00BC42A4"/>
    <w:rsid w:val="00BC693A"/>
    <w:rsid w:val="00BD28CA"/>
    <w:rsid w:val="00BD3145"/>
    <w:rsid w:val="00BD3D49"/>
    <w:rsid w:val="00BD5FA7"/>
    <w:rsid w:val="00BD784C"/>
    <w:rsid w:val="00BE0D20"/>
    <w:rsid w:val="00BE3B2B"/>
    <w:rsid w:val="00BF1D7A"/>
    <w:rsid w:val="00BF254E"/>
    <w:rsid w:val="00BF7254"/>
    <w:rsid w:val="00C23803"/>
    <w:rsid w:val="00C241E8"/>
    <w:rsid w:val="00C3373F"/>
    <w:rsid w:val="00C362B5"/>
    <w:rsid w:val="00C37B7E"/>
    <w:rsid w:val="00C37C05"/>
    <w:rsid w:val="00C403CA"/>
    <w:rsid w:val="00C40F2C"/>
    <w:rsid w:val="00C41586"/>
    <w:rsid w:val="00C42F08"/>
    <w:rsid w:val="00C432B0"/>
    <w:rsid w:val="00C45E84"/>
    <w:rsid w:val="00C517ED"/>
    <w:rsid w:val="00C5199D"/>
    <w:rsid w:val="00C56BEB"/>
    <w:rsid w:val="00C65726"/>
    <w:rsid w:val="00C74A3A"/>
    <w:rsid w:val="00C81376"/>
    <w:rsid w:val="00C8274F"/>
    <w:rsid w:val="00C85004"/>
    <w:rsid w:val="00C869A1"/>
    <w:rsid w:val="00C97565"/>
    <w:rsid w:val="00CA0682"/>
    <w:rsid w:val="00CA77E2"/>
    <w:rsid w:val="00CB269F"/>
    <w:rsid w:val="00CB2FCD"/>
    <w:rsid w:val="00CB6369"/>
    <w:rsid w:val="00CB728E"/>
    <w:rsid w:val="00CC02EB"/>
    <w:rsid w:val="00CC1B45"/>
    <w:rsid w:val="00CC54B3"/>
    <w:rsid w:val="00CD3EF9"/>
    <w:rsid w:val="00CE4FCF"/>
    <w:rsid w:val="00CE649C"/>
    <w:rsid w:val="00CF180F"/>
    <w:rsid w:val="00CF3F5C"/>
    <w:rsid w:val="00D0259A"/>
    <w:rsid w:val="00D03717"/>
    <w:rsid w:val="00D163F5"/>
    <w:rsid w:val="00D16EB8"/>
    <w:rsid w:val="00D17E77"/>
    <w:rsid w:val="00D21696"/>
    <w:rsid w:val="00D30A57"/>
    <w:rsid w:val="00D357C9"/>
    <w:rsid w:val="00D35988"/>
    <w:rsid w:val="00D36D61"/>
    <w:rsid w:val="00D417B2"/>
    <w:rsid w:val="00D4264A"/>
    <w:rsid w:val="00D4301A"/>
    <w:rsid w:val="00D44E80"/>
    <w:rsid w:val="00D46BD0"/>
    <w:rsid w:val="00D46D3D"/>
    <w:rsid w:val="00D579F8"/>
    <w:rsid w:val="00D60C6E"/>
    <w:rsid w:val="00D63DD5"/>
    <w:rsid w:val="00D65DC8"/>
    <w:rsid w:val="00D734AF"/>
    <w:rsid w:val="00D73F60"/>
    <w:rsid w:val="00D74ECF"/>
    <w:rsid w:val="00D76635"/>
    <w:rsid w:val="00D808C9"/>
    <w:rsid w:val="00D816C4"/>
    <w:rsid w:val="00D818F8"/>
    <w:rsid w:val="00D855CF"/>
    <w:rsid w:val="00D86913"/>
    <w:rsid w:val="00D968B7"/>
    <w:rsid w:val="00DA5FE5"/>
    <w:rsid w:val="00DB0120"/>
    <w:rsid w:val="00DB2C02"/>
    <w:rsid w:val="00DC4984"/>
    <w:rsid w:val="00DD0995"/>
    <w:rsid w:val="00DD3CFF"/>
    <w:rsid w:val="00DD632B"/>
    <w:rsid w:val="00DD6F0D"/>
    <w:rsid w:val="00DE41D6"/>
    <w:rsid w:val="00DE4B62"/>
    <w:rsid w:val="00DE4C1C"/>
    <w:rsid w:val="00DE52D7"/>
    <w:rsid w:val="00DF03D5"/>
    <w:rsid w:val="00DF2C59"/>
    <w:rsid w:val="00DF4ED9"/>
    <w:rsid w:val="00DF5164"/>
    <w:rsid w:val="00E0537E"/>
    <w:rsid w:val="00E05FE1"/>
    <w:rsid w:val="00E0664B"/>
    <w:rsid w:val="00E10452"/>
    <w:rsid w:val="00E15570"/>
    <w:rsid w:val="00E174D5"/>
    <w:rsid w:val="00E24F2E"/>
    <w:rsid w:val="00E32560"/>
    <w:rsid w:val="00E41DEF"/>
    <w:rsid w:val="00E47F1C"/>
    <w:rsid w:val="00E509D6"/>
    <w:rsid w:val="00E53C71"/>
    <w:rsid w:val="00E548AC"/>
    <w:rsid w:val="00E63994"/>
    <w:rsid w:val="00E63F0A"/>
    <w:rsid w:val="00E66BC3"/>
    <w:rsid w:val="00E702F8"/>
    <w:rsid w:val="00E737F5"/>
    <w:rsid w:val="00E76B30"/>
    <w:rsid w:val="00E8630F"/>
    <w:rsid w:val="00E87C68"/>
    <w:rsid w:val="00EA3746"/>
    <w:rsid w:val="00EA5FC0"/>
    <w:rsid w:val="00EB3705"/>
    <w:rsid w:val="00EC148E"/>
    <w:rsid w:val="00EC2C0E"/>
    <w:rsid w:val="00EC2CD6"/>
    <w:rsid w:val="00EC5110"/>
    <w:rsid w:val="00EC56E9"/>
    <w:rsid w:val="00ED1278"/>
    <w:rsid w:val="00EE43EA"/>
    <w:rsid w:val="00EE56E0"/>
    <w:rsid w:val="00EE593D"/>
    <w:rsid w:val="00EE5D97"/>
    <w:rsid w:val="00EE6D20"/>
    <w:rsid w:val="00EF199D"/>
    <w:rsid w:val="00F024EE"/>
    <w:rsid w:val="00F1432D"/>
    <w:rsid w:val="00F1495F"/>
    <w:rsid w:val="00F16D63"/>
    <w:rsid w:val="00F2147E"/>
    <w:rsid w:val="00F22B15"/>
    <w:rsid w:val="00F36EDB"/>
    <w:rsid w:val="00F424CF"/>
    <w:rsid w:val="00F45E70"/>
    <w:rsid w:val="00F47DCE"/>
    <w:rsid w:val="00F53482"/>
    <w:rsid w:val="00F65CE9"/>
    <w:rsid w:val="00F665A3"/>
    <w:rsid w:val="00F71816"/>
    <w:rsid w:val="00F75310"/>
    <w:rsid w:val="00F76128"/>
    <w:rsid w:val="00F761E7"/>
    <w:rsid w:val="00F76385"/>
    <w:rsid w:val="00F819C9"/>
    <w:rsid w:val="00F85B22"/>
    <w:rsid w:val="00F90179"/>
    <w:rsid w:val="00F93CC2"/>
    <w:rsid w:val="00F957C1"/>
    <w:rsid w:val="00F964DC"/>
    <w:rsid w:val="00FB1330"/>
    <w:rsid w:val="00FB3683"/>
    <w:rsid w:val="00FD14D3"/>
    <w:rsid w:val="00FD192C"/>
    <w:rsid w:val="00FD2242"/>
    <w:rsid w:val="00FD5496"/>
    <w:rsid w:val="00FD7739"/>
    <w:rsid w:val="00FE4742"/>
    <w:rsid w:val="00FF7829"/>
    <w:rsid w:val="00FF7FAD"/>
    <w:rsid w:val="05545EE7"/>
    <w:rsid w:val="37EF304E"/>
    <w:rsid w:val="4FF38CE3"/>
    <w:rsid w:val="6FCFF261"/>
    <w:rsid w:val="8BF72D2D"/>
    <w:rsid w:val="9EEF19FD"/>
    <w:rsid w:val="9F3F8971"/>
    <w:rsid w:val="A6EFBA4C"/>
    <w:rsid w:val="ADB3C689"/>
    <w:rsid w:val="BFFC460B"/>
    <w:rsid w:val="CF2D376B"/>
    <w:rsid w:val="DAB271DB"/>
    <w:rsid w:val="FFE8D8F1"/>
  </w:rsids>
  <m:mathPr>
    <m:mathFont m:val="Cambria Math"/>
    <m:brkBin m:val="before"/>
    <m:brkBinSub m:val="--"/>
    <m:smallFrac m:val="0"/>
    <m:dispDef/>
    <m:lMargin m:val="0"/>
    <m:rMargin m:val="0"/>
    <m:defJc m:val="centerGroup"/>
    <m:wrapIndent m:val="1440"/>
    <m:intLim m:val="subSup"/>
    <m:naryLim m:val="undOvr"/>
  </m:mathPr>
  <w:themeFontLang w:val="en-US" w:eastAsia="zh-CN" w:bidi="si-LK"/>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3">
    <w:name w:val="heading 1"/>
    <w:basedOn w:val="1"/>
    <w:next w:val="1"/>
    <w:link w:val="30"/>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4">
    <w:name w:val="heading 2"/>
    <w:basedOn w:val="1"/>
    <w:next w:val="1"/>
    <w:link w:val="7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5">
    <w:name w:val="heading 3"/>
    <w:basedOn w:val="1"/>
    <w:next w:val="1"/>
    <w:link w:val="73"/>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6">
    <w:name w:val="heading 4"/>
    <w:basedOn w:val="1"/>
    <w:next w:val="1"/>
    <w:link w:val="7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7">
    <w:name w:val="heading 5"/>
    <w:basedOn w:val="1"/>
    <w:next w:val="1"/>
    <w:link w:val="75"/>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8">
    <w:name w:val="heading 6"/>
    <w:basedOn w:val="1"/>
    <w:next w:val="1"/>
    <w:link w:val="7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7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7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1">
    <w:name w:val="heading 9"/>
    <w:basedOn w:val="1"/>
    <w:next w:val="1"/>
    <w:link w:val="7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12">
    <w:name w:val="caption"/>
    <w:basedOn w:val="1"/>
    <w:next w:val="1"/>
    <w:unhideWhenUsed/>
    <w:qFormat/>
    <w:uiPriority w:val="0"/>
    <w:pPr>
      <w:keepNext/>
      <w:spacing w:before="240" w:after="200" w:line="240" w:lineRule="auto"/>
      <w:jc w:val="both"/>
    </w:pPr>
    <w:rPr>
      <w:rFonts w:eastAsia="Times New Roman" w:cstheme="minorHAnsi"/>
      <w:i/>
      <w:iCs/>
      <w:sz w:val="17"/>
      <w:szCs w:val="17"/>
      <w:lang w:val="en-AU"/>
    </w:rPr>
  </w:style>
  <w:style w:type="paragraph" w:styleId="13">
    <w:name w:val="annotation text"/>
    <w:basedOn w:val="1"/>
    <w:link w:val="68"/>
    <w:unhideWhenUsed/>
    <w:qFormat/>
    <w:uiPriority w:val="99"/>
    <w:pPr>
      <w:spacing w:line="240" w:lineRule="auto"/>
    </w:pPr>
    <w:rPr>
      <w:sz w:val="20"/>
      <w:szCs w:val="20"/>
    </w:rPr>
  </w:style>
  <w:style w:type="paragraph" w:styleId="14">
    <w:name w:val="footer"/>
    <w:basedOn w:val="1"/>
    <w:link w:val="34"/>
    <w:unhideWhenUsed/>
    <w:qFormat/>
    <w:uiPriority w:val="99"/>
    <w:pPr>
      <w:tabs>
        <w:tab w:val="center" w:pos="4680"/>
        <w:tab w:val="right" w:pos="9360"/>
      </w:tabs>
      <w:spacing w:after="0" w:line="240" w:lineRule="auto"/>
    </w:pPr>
  </w:style>
  <w:style w:type="paragraph" w:styleId="15">
    <w:name w:val="header"/>
    <w:basedOn w:val="1"/>
    <w:link w:val="33"/>
    <w:unhideWhenUsed/>
    <w:qFormat/>
    <w:uiPriority w:val="99"/>
    <w:pPr>
      <w:tabs>
        <w:tab w:val="center" w:pos="4680"/>
        <w:tab w:val="right" w:pos="9360"/>
      </w:tabs>
      <w:spacing w:after="0" w:line="240" w:lineRule="auto"/>
    </w:pPr>
  </w:style>
  <w:style w:type="paragraph" w:styleId="16">
    <w:name w:val="Subtitle"/>
    <w:basedOn w:val="1"/>
    <w:next w:val="1"/>
    <w:link w:val="8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footnote text"/>
    <w:basedOn w:val="1"/>
    <w:unhideWhenUsed/>
    <w:qFormat/>
    <w:uiPriority w:val="0"/>
    <w:pPr>
      <w:snapToGrid w:val="0"/>
    </w:pPr>
    <w:rPr>
      <w:sz w:val="18"/>
      <w:szCs w:val="20"/>
    </w:rPr>
  </w:style>
  <w:style w:type="paragraph" w:styleId="18">
    <w:name w:val="Title"/>
    <w:basedOn w:val="1"/>
    <w:next w:val="1"/>
    <w:link w:val="8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9">
    <w:name w:val="annotation subject"/>
    <w:basedOn w:val="13"/>
    <w:next w:val="13"/>
    <w:link w:val="69"/>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FollowedHyperlink"/>
    <w:basedOn w:val="22"/>
    <w:semiHidden/>
    <w:unhideWhenUsed/>
    <w:qFormat/>
    <w:uiPriority w:val="99"/>
    <w:rPr>
      <w:color w:val="954F72"/>
      <w:u w:val="single"/>
    </w:rPr>
  </w:style>
  <w:style w:type="character" w:styleId="25">
    <w:name w:val="line number"/>
    <w:basedOn w:val="22"/>
    <w:semiHidden/>
    <w:unhideWhenUsed/>
    <w:qFormat/>
    <w:uiPriority w:val="99"/>
  </w:style>
  <w:style w:type="character" w:styleId="26">
    <w:name w:val="Hyperlink"/>
    <w:basedOn w:val="22"/>
    <w:unhideWhenUsed/>
    <w:qFormat/>
    <w:uiPriority w:val="99"/>
    <w:rPr>
      <w:color w:val="0563C1"/>
      <w:u w:val="single"/>
    </w:rPr>
  </w:style>
  <w:style w:type="character" w:styleId="27">
    <w:name w:val="annotation reference"/>
    <w:basedOn w:val="22"/>
    <w:semiHidden/>
    <w:unhideWhenUsed/>
    <w:qFormat/>
    <w:uiPriority w:val="99"/>
    <w:rPr>
      <w:sz w:val="16"/>
      <w:szCs w:val="16"/>
    </w:rPr>
  </w:style>
  <w:style w:type="paragraph" w:styleId="28">
    <w:name w:val="List Paragraph"/>
    <w:basedOn w:val="1"/>
    <w:qFormat/>
    <w:uiPriority w:val="34"/>
    <w:pPr>
      <w:ind w:left="720"/>
      <w:contextualSpacing/>
    </w:pPr>
  </w:style>
  <w:style w:type="character" w:customStyle="1" w:styleId="29">
    <w:name w:val="gqlwee"/>
    <w:basedOn w:val="22"/>
    <w:qFormat/>
    <w:uiPriority w:val="0"/>
  </w:style>
  <w:style w:type="character" w:customStyle="1" w:styleId="30">
    <w:name w:val="标题 1 字符"/>
    <w:basedOn w:val="22"/>
    <w:link w:val="3"/>
    <w:qFormat/>
    <w:uiPriority w:val="9"/>
    <w:rPr>
      <w:rFonts w:asciiTheme="majorHAnsi" w:hAnsiTheme="majorHAnsi" w:eastAsiaTheme="majorEastAsia" w:cstheme="majorBidi"/>
      <w:color w:val="2F5597" w:themeColor="accent1" w:themeShade="BF"/>
      <w:sz w:val="32"/>
      <w:szCs w:val="32"/>
    </w:rPr>
  </w:style>
  <w:style w:type="paragraph" w:customStyle="1" w:styleId="31">
    <w:name w:val="Bibliography1"/>
    <w:basedOn w:val="1"/>
    <w:next w:val="1"/>
    <w:unhideWhenUsed/>
    <w:qFormat/>
    <w:uiPriority w:val="37"/>
  </w:style>
  <w:style w:type="paragraph" w:customStyle="1" w:styleId="32">
    <w:name w:val="Revision1"/>
    <w:hidden/>
    <w:semiHidden/>
    <w:qFormat/>
    <w:uiPriority w:val="99"/>
    <w:rPr>
      <w:rFonts w:asciiTheme="minorHAnsi" w:hAnsiTheme="minorHAnsi" w:eastAsiaTheme="minorHAnsi" w:cstheme="minorBidi"/>
      <w:sz w:val="22"/>
      <w:szCs w:val="22"/>
      <w:lang w:val="en-US" w:eastAsia="en-US" w:bidi="ar-SA"/>
    </w:rPr>
  </w:style>
  <w:style w:type="character" w:customStyle="1" w:styleId="33">
    <w:name w:val="页眉 字符"/>
    <w:basedOn w:val="22"/>
    <w:link w:val="15"/>
    <w:qFormat/>
    <w:uiPriority w:val="99"/>
  </w:style>
  <w:style w:type="character" w:customStyle="1" w:styleId="34">
    <w:name w:val="页脚 字符"/>
    <w:basedOn w:val="22"/>
    <w:link w:val="14"/>
    <w:qFormat/>
    <w:uiPriority w:val="99"/>
  </w:style>
  <w:style w:type="paragraph" w:customStyle="1" w:styleId="35">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6">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rPr>
  </w:style>
  <w:style w:type="paragraph" w:customStyle="1" w:styleId="37">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8">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9">
    <w:name w:val="xl68"/>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0">
    <w:name w:val="xl69"/>
    <w:basedOn w:val="1"/>
    <w:qFormat/>
    <w:uiPriority w:val="0"/>
    <w:pPr>
      <w:pBdr>
        <w:top w:val="single" w:color="auto" w:sz="4" w:space="0"/>
        <w:left w:val="single" w:color="auto" w:sz="4" w:space="0"/>
        <w:bottom w:val="single" w:color="auto" w:sz="4" w:space="0"/>
        <w:right w:val="single" w:color="auto" w:sz="4" w:space="0"/>
      </w:pBdr>
      <w:shd w:val="clear" w:color="000000" w:fill="F8CBAD"/>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1">
    <w:name w:val="xl70"/>
    <w:basedOn w:val="1"/>
    <w:qFormat/>
    <w:uiPriority w:val="0"/>
    <w:pPr>
      <w:pBdr>
        <w:top w:val="single" w:color="auto" w:sz="4" w:space="0"/>
        <w:left w:val="single" w:color="auto" w:sz="4" w:space="0"/>
        <w:bottom w:val="single" w:color="auto" w:sz="4" w:space="0"/>
        <w:right w:val="single" w:color="auto" w:sz="4" w:space="0"/>
      </w:pBdr>
      <w:shd w:val="clear" w:color="000000" w:fill="FFE699"/>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2">
    <w:name w:val="xl71"/>
    <w:basedOn w:val="1"/>
    <w:qFormat/>
    <w:uiPriority w:val="0"/>
    <w:pPr>
      <w:pBdr>
        <w:top w:val="single" w:color="auto" w:sz="4" w:space="0"/>
        <w:left w:val="single" w:color="auto" w:sz="4" w:space="0"/>
        <w:bottom w:val="single" w:color="auto" w:sz="4" w:space="0"/>
        <w:right w:val="single" w:color="auto" w:sz="4" w:space="0"/>
      </w:pBdr>
      <w:shd w:val="clear" w:color="000000" w:fill="C9C9C9"/>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3">
    <w:name w:val="xl72"/>
    <w:basedOn w:val="1"/>
    <w:qFormat/>
    <w:uiPriority w:val="0"/>
    <w:pPr>
      <w:pBdr>
        <w:top w:val="single" w:color="auto" w:sz="4" w:space="0"/>
        <w:left w:val="single" w:color="auto" w:sz="4" w:space="0"/>
        <w:bottom w:val="single" w:color="auto" w:sz="4" w:space="0"/>
      </w:pBdr>
      <w:shd w:val="clear" w:color="000000" w:fill="C9C9C9"/>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4">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5">
    <w:name w:val="xl74"/>
    <w:basedOn w:val="1"/>
    <w:qFormat/>
    <w:uiPriority w:val="0"/>
    <w:pPr>
      <w:pBdr>
        <w:top w:val="single" w:color="auto" w:sz="4" w:space="0"/>
        <w:bottom w:val="single" w:color="auto" w:sz="4" w:space="0"/>
        <w:right w:val="single" w:color="auto" w:sz="4" w:space="0"/>
      </w:pBdr>
      <w:shd w:val="clear" w:color="000000" w:fill="9BC2E6"/>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46">
    <w:name w:val="xl75"/>
    <w:basedOn w:val="1"/>
    <w:qFormat/>
    <w:uiPriority w:val="0"/>
    <w:pPr>
      <w:pBdr>
        <w:top w:val="single" w:color="auto" w:sz="4" w:space="0"/>
        <w:bottom w:val="single" w:color="auto" w:sz="4" w:space="0"/>
      </w:pBdr>
      <w:shd w:val="clear" w:color="000000" w:fill="9BC2E6"/>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47">
    <w:name w:val="xl76"/>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rPr>
  </w:style>
  <w:style w:type="paragraph" w:customStyle="1" w:styleId="48">
    <w:name w:val="xl77"/>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49">
    <w:name w:val="xl78"/>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50">
    <w:name w:val="xl79"/>
    <w:basedOn w:val="1"/>
    <w:qFormat/>
    <w:uiPriority w:val="0"/>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51">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52">
    <w:name w:val="xl81"/>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53">
    <w:name w:val="xl82"/>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54">
    <w:name w:val="xl83"/>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55">
    <w:name w:val="xl84"/>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56">
    <w:name w:val="xl85"/>
    <w:basedOn w:val="1"/>
    <w:qFormat/>
    <w:uiPriority w:val="0"/>
    <w:pPr>
      <w:pBdr>
        <w:top w:val="single" w:color="auto" w:sz="4" w:space="0"/>
        <w:bottom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57">
    <w:name w:val="xl86"/>
    <w:basedOn w:val="1"/>
    <w:qFormat/>
    <w:uiPriority w:val="0"/>
    <w:pPr>
      <w:pBdr>
        <w:top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58">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59">
    <w:name w:val="xl88"/>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0">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61">
    <w:name w:val="xl90"/>
    <w:basedOn w:val="1"/>
    <w:qFormat/>
    <w:uiPriority w:val="0"/>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62">
    <w:name w:val="xl91"/>
    <w:basedOn w:val="1"/>
    <w:qFormat/>
    <w:uiPriority w:val="0"/>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63">
    <w:name w:val="xl92"/>
    <w:basedOn w:val="1"/>
    <w:qFormat/>
    <w:uiPriority w:val="0"/>
    <w:pPr>
      <w:pBdr>
        <w:top w:val="single" w:color="auto" w:sz="4" w:space="0"/>
        <w:left w:val="single" w:color="auto" w:sz="4" w:space="0"/>
        <w:bottom w:val="single" w:color="auto" w:sz="4" w:space="0"/>
      </w:pBdr>
      <w:shd w:val="clear" w:color="000000" w:fill="9BC2E6"/>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64">
    <w:name w:val="xl93"/>
    <w:basedOn w:val="1"/>
    <w:qFormat/>
    <w:uiPriority w:val="0"/>
    <w:pPr>
      <w:pBdr>
        <w:top w:val="single" w:color="auto" w:sz="4" w:space="0"/>
        <w:left w:val="single" w:color="auto" w:sz="4" w:space="0"/>
        <w:bottom w:val="single" w:color="auto" w:sz="4" w:space="0"/>
        <w:right w:val="single" w:color="auto" w:sz="4" w:space="0"/>
      </w:pBdr>
      <w:shd w:val="clear" w:color="000000" w:fill="9BC2E6"/>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65">
    <w:name w:val="xl94"/>
    <w:basedOn w:val="1"/>
    <w:qFormat/>
    <w:uiPriority w:val="0"/>
    <w:pPr>
      <w:spacing w:before="100" w:beforeAutospacing="1" w:after="100" w:afterAutospacing="1" w:line="240" w:lineRule="auto"/>
    </w:pPr>
    <w:rPr>
      <w:rFonts w:ascii="Times New Roman" w:hAnsi="Times New Roman" w:eastAsia="Times New Roman" w:cs="Times New Roman"/>
      <w:b/>
      <w:bCs/>
      <w:color w:val="FF0000"/>
      <w:sz w:val="24"/>
      <w:szCs w:val="24"/>
    </w:rPr>
  </w:style>
  <w:style w:type="paragraph" w:customStyle="1" w:styleId="66">
    <w:name w:val="xl95"/>
    <w:basedOn w:val="1"/>
    <w:qFormat/>
    <w:uiPriority w:val="0"/>
    <w:pPr>
      <w:spacing w:before="100" w:beforeAutospacing="1" w:after="100" w:afterAutospacing="1" w:line="240" w:lineRule="auto"/>
      <w:textAlignment w:val="top"/>
    </w:pPr>
    <w:rPr>
      <w:rFonts w:ascii="Times New Roman" w:hAnsi="Times New Roman" w:eastAsia="Times New Roman" w:cs="Times New Roman"/>
      <w:b/>
      <w:bCs/>
      <w:color w:val="FF0000"/>
      <w:sz w:val="24"/>
      <w:szCs w:val="24"/>
    </w:rPr>
  </w:style>
  <w:style w:type="paragraph" w:styleId="67">
    <w:name w:val="No Spacing"/>
    <w:qFormat/>
    <w:uiPriority w:val="1"/>
    <w:rPr>
      <w:rFonts w:asciiTheme="minorHAnsi" w:hAnsiTheme="minorHAnsi" w:eastAsiaTheme="minorHAnsi" w:cstheme="minorBidi"/>
      <w:sz w:val="22"/>
      <w:szCs w:val="22"/>
      <w:lang w:val="en-US" w:eastAsia="en-US" w:bidi="ar-SA"/>
    </w:rPr>
  </w:style>
  <w:style w:type="character" w:customStyle="1" w:styleId="68">
    <w:name w:val="批注文字 字符"/>
    <w:basedOn w:val="22"/>
    <w:link w:val="13"/>
    <w:qFormat/>
    <w:uiPriority w:val="99"/>
    <w:rPr>
      <w:sz w:val="20"/>
      <w:szCs w:val="20"/>
    </w:rPr>
  </w:style>
  <w:style w:type="character" w:customStyle="1" w:styleId="69">
    <w:name w:val="批注主题 字符"/>
    <w:basedOn w:val="68"/>
    <w:link w:val="19"/>
    <w:semiHidden/>
    <w:qFormat/>
    <w:uiPriority w:val="99"/>
    <w:rPr>
      <w:b/>
      <w:bCs/>
      <w:sz w:val="20"/>
      <w:szCs w:val="20"/>
    </w:rPr>
  </w:style>
  <w:style w:type="character" w:customStyle="1" w:styleId="70">
    <w:name w:val="Unresolved Mention1"/>
    <w:basedOn w:val="22"/>
    <w:semiHidden/>
    <w:unhideWhenUsed/>
    <w:qFormat/>
    <w:uiPriority w:val="99"/>
    <w:rPr>
      <w:color w:val="605E5C"/>
      <w:shd w:val="clear" w:color="auto" w:fill="E1DFDD"/>
    </w:rPr>
  </w:style>
  <w:style w:type="character" w:styleId="71">
    <w:name w:val="Placeholder Text"/>
    <w:basedOn w:val="22"/>
    <w:semiHidden/>
    <w:qFormat/>
    <w:uiPriority w:val="99"/>
    <w:rPr>
      <w:color w:val="666666"/>
    </w:rPr>
  </w:style>
  <w:style w:type="character" w:customStyle="1" w:styleId="72">
    <w:name w:val="标题 2 字符"/>
    <w:basedOn w:val="22"/>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73">
    <w:name w:val="标题 3 字符"/>
    <w:basedOn w:val="22"/>
    <w:link w:val="5"/>
    <w:semiHidden/>
    <w:qFormat/>
    <w:uiPriority w:val="9"/>
    <w:rPr>
      <w:rFonts w:eastAsiaTheme="majorEastAsia" w:cstheme="majorBidi"/>
      <w:color w:val="2F5597" w:themeColor="accent1" w:themeShade="BF"/>
      <w:sz w:val="28"/>
      <w:szCs w:val="28"/>
    </w:rPr>
  </w:style>
  <w:style w:type="character" w:customStyle="1" w:styleId="74">
    <w:name w:val="标题 4 字符"/>
    <w:basedOn w:val="22"/>
    <w:link w:val="6"/>
    <w:semiHidden/>
    <w:qFormat/>
    <w:uiPriority w:val="9"/>
    <w:rPr>
      <w:rFonts w:eastAsiaTheme="majorEastAsia" w:cstheme="majorBidi"/>
      <w:i/>
      <w:iCs/>
      <w:color w:val="2F5597" w:themeColor="accent1" w:themeShade="BF"/>
    </w:rPr>
  </w:style>
  <w:style w:type="character" w:customStyle="1" w:styleId="75">
    <w:name w:val="标题 5 字符"/>
    <w:basedOn w:val="22"/>
    <w:link w:val="7"/>
    <w:semiHidden/>
    <w:qFormat/>
    <w:uiPriority w:val="9"/>
    <w:rPr>
      <w:rFonts w:eastAsiaTheme="majorEastAsia" w:cstheme="majorBidi"/>
      <w:color w:val="2F5597" w:themeColor="accent1" w:themeShade="BF"/>
    </w:rPr>
  </w:style>
  <w:style w:type="character" w:customStyle="1" w:styleId="76">
    <w:name w:val="标题 6 字符"/>
    <w:basedOn w:val="22"/>
    <w:link w:val="8"/>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77">
    <w:name w:val="标题 7 字符"/>
    <w:basedOn w:val="22"/>
    <w:link w:val="9"/>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78">
    <w:name w:val="标题 8 字符"/>
    <w:basedOn w:val="22"/>
    <w:link w:val="10"/>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79">
    <w:name w:val="标题 9 字符"/>
    <w:basedOn w:val="22"/>
    <w:link w:val="11"/>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80">
    <w:name w:val="标题 字符"/>
    <w:basedOn w:val="22"/>
    <w:link w:val="18"/>
    <w:qFormat/>
    <w:uiPriority w:val="10"/>
    <w:rPr>
      <w:rFonts w:asciiTheme="majorHAnsi" w:hAnsiTheme="majorHAnsi" w:eastAsiaTheme="majorEastAsia" w:cstheme="majorBidi"/>
      <w:spacing w:val="-10"/>
      <w:kern w:val="28"/>
      <w:sz w:val="56"/>
      <w:szCs w:val="56"/>
    </w:rPr>
  </w:style>
  <w:style w:type="character" w:customStyle="1" w:styleId="81">
    <w:name w:val="副标题 字符"/>
    <w:basedOn w:val="22"/>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82">
    <w:name w:val="Quote"/>
    <w:basedOn w:val="1"/>
    <w:next w:val="1"/>
    <w:link w:val="8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83">
    <w:name w:val="引用 字符"/>
    <w:basedOn w:val="22"/>
    <w:link w:val="82"/>
    <w:qFormat/>
    <w:uiPriority w:val="29"/>
    <w:rPr>
      <w:i/>
      <w:iCs/>
      <w:color w:val="404040" w:themeColor="text1" w:themeTint="BF"/>
      <w14:textFill>
        <w14:solidFill>
          <w14:schemeClr w14:val="tx1">
            <w14:lumMod w14:val="75000"/>
            <w14:lumOff w14:val="25000"/>
          </w14:schemeClr>
        </w14:solidFill>
      </w14:textFill>
    </w:rPr>
  </w:style>
  <w:style w:type="character" w:customStyle="1" w:styleId="84">
    <w:name w:val="Intense Emphasis1"/>
    <w:basedOn w:val="22"/>
    <w:qFormat/>
    <w:uiPriority w:val="21"/>
    <w:rPr>
      <w:i/>
      <w:iCs/>
      <w:color w:val="2F5597" w:themeColor="accent1" w:themeShade="BF"/>
    </w:rPr>
  </w:style>
  <w:style w:type="paragraph" w:styleId="85">
    <w:name w:val="Intense Quote"/>
    <w:basedOn w:val="1"/>
    <w:next w:val="1"/>
    <w:link w:val="8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86">
    <w:name w:val="明显引用 字符"/>
    <w:basedOn w:val="22"/>
    <w:link w:val="85"/>
    <w:qFormat/>
    <w:uiPriority w:val="30"/>
    <w:rPr>
      <w:i/>
      <w:iCs/>
      <w:color w:val="2F5597" w:themeColor="accent1" w:themeShade="BF"/>
    </w:rPr>
  </w:style>
  <w:style w:type="character" w:customStyle="1" w:styleId="87">
    <w:name w:val="Intense Reference1"/>
    <w:basedOn w:val="22"/>
    <w:qFormat/>
    <w:uiPriority w:val="32"/>
    <w:rPr>
      <w:b/>
      <w:bCs/>
      <w:smallCaps/>
      <w:color w:val="2F5597" w:themeColor="accent1" w:themeShade="BF"/>
      <w:spacing w:val="5"/>
    </w:rPr>
  </w:style>
  <w:style w:type="table" w:customStyle="1" w:styleId="88">
    <w:name w:val="Plain Table 41"/>
    <w:basedOn w:val="20"/>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89">
    <w:name w:val="Table Grid Light1"/>
    <w:basedOn w:val="2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90">
    <w:name w:val="Unresolved Mention"/>
    <w:basedOn w:val="2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chart" Target="charts/chart39.xml"/><Relationship Id="rId50" Type="http://schemas.openxmlformats.org/officeDocument/2006/relationships/chart" Target="charts/chart38.xml"/><Relationship Id="rId5" Type="http://schemas.openxmlformats.org/officeDocument/2006/relationships/theme" Target="theme/theme1.xml"/><Relationship Id="rId49" Type="http://schemas.openxmlformats.org/officeDocument/2006/relationships/chart" Target="charts/chart37.xml"/><Relationship Id="rId48" Type="http://schemas.openxmlformats.org/officeDocument/2006/relationships/chart" Target="charts/chart36.xml"/><Relationship Id="rId47" Type="http://schemas.openxmlformats.org/officeDocument/2006/relationships/chart" Target="charts/chart35.xml"/><Relationship Id="rId46" Type="http://schemas.openxmlformats.org/officeDocument/2006/relationships/chart" Target="charts/chart34.xml"/><Relationship Id="rId45" Type="http://schemas.openxmlformats.org/officeDocument/2006/relationships/chart" Target="charts/chart33.xml"/><Relationship Id="rId44" Type="http://schemas.openxmlformats.org/officeDocument/2006/relationships/chart" Target="charts/chart32.xml"/><Relationship Id="rId43" Type="http://schemas.openxmlformats.org/officeDocument/2006/relationships/chart" Target="charts/chart31.xml"/><Relationship Id="rId42" Type="http://schemas.openxmlformats.org/officeDocument/2006/relationships/chart" Target="charts/chart30.xml"/><Relationship Id="rId41" Type="http://schemas.openxmlformats.org/officeDocument/2006/relationships/chart" Target="charts/chart29.xml"/><Relationship Id="rId40" Type="http://schemas.openxmlformats.org/officeDocument/2006/relationships/chart" Target="charts/chart28.xml"/><Relationship Id="rId4" Type="http://schemas.openxmlformats.org/officeDocument/2006/relationships/endnotes" Target="endnotes.xml"/><Relationship Id="rId39" Type="http://schemas.openxmlformats.org/officeDocument/2006/relationships/chart" Target="charts/chart27.xml"/><Relationship Id="rId38" Type="http://schemas.openxmlformats.org/officeDocument/2006/relationships/chart" Target="charts/chart26.xml"/><Relationship Id="rId37" Type="http://schemas.openxmlformats.org/officeDocument/2006/relationships/chart" Target="charts/chart25.xml"/><Relationship Id="rId36" Type="http://schemas.openxmlformats.org/officeDocument/2006/relationships/chart" Target="charts/chart24.xml"/><Relationship Id="rId35" Type="http://schemas.openxmlformats.org/officeDocument/2006/relationships/chart" Target="charts/chart23.xml"/><Relationship Id="rId34" Type="http://schemas.openxmlformats.org/officeDocument/2006/relationships/chart" Target="charts/chart22.xml"/><Relationship Id="rId33" Type="http://schemas.openxmlformats.org/officeDocument/2006/relationships/chart" Target="charts/chart21.xml"/><Relationship Id="rId32" Type="http://schemas.openxmlformats.org/officeDocument/2006/relationships/chart" Target="charts/chart20.xml"/><Relationship Id="rId31" Type="http://schemas.openxmlformats.org/officeDocument/2006/relationships/chart" Target="charts/chart19.xml"/><Relationship Id="rId30" Type="http://schemas.openxmlformats.org/officeDocument/2006/relationships/chart" Target="charts/chart18.xml"/><Relationship Id="rId3" Type="http://schemas.openxmlformats.org/officeDocument/2006/relationships/footnotes" Target="footnotes.xml"/><Relationship Id="rId29" Type="http://schemas.openxmlformats.org/officeDocument/2006/relationships/chart" Target="charts/chart17.xml"/><Relationship Id="rId28" Type="http://schemas.openxmlformats.org/officeDocument/2006/relationships/chart" Target="charts/chart16.xml"/><Relationship Id="rId27" Type="http://schemas.openxmlformats.org/officeDocument/2006/relationships/chart" Target="charts/chart15.xml"/><Relationship Id="rId26" Type="http://schemas.openxmlformats.org/officeDocument/2006/relationships/chart" Target="charts/chart14.xml"/><Relationship Id="rId25" Type="http://schemas.openxmlformats.org/officeDocument/2006/relationships/chart" Target="charts/chart13.xml"/><Relationship Id="rId24" Type="http://schemas.openxmlformats.org/officeDocument/2006/relationships/chart" Target="charts/chart12.xml"/><Relationship Id="rId23" Type="http://schemas.openxmlformats.org/officeDocument/2006/relationships/chart" Target="charts/chart11.xml"/><Relationship Id="rId22" Type="http://schemas.openxmlformats.org/officeDocument/2006/relationships/chart" Target="charts/chart10.xml"/><Relationship Id="rId21" Type="http://schemas.openxmlformats.org/officeDocument/2006/relationships/chart" Target="charts/chart9.xml"/><Relationship Id="rId20" Type="http://schemas.openxmlformats.org/officeDocument/2006/relationships/chart" Target="charts/chart8.xml"/><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udara\Downloads\Figure%204%20(1)%20(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udara\Downloads\Figure%204%20(1)%20(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udara\Downloads\Figure%204%20(1)%20(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udara\Downloads\Figure%204%20(1)%20(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udara\Downloads\Figure%204%20(1)%20(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udara\Downloads\Figure%204%20(1)%20(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udara\Downloads\Figure%204%20(1)%20(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udara\Downloads\Figure%204%20(1)%20(1).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udara\Downloads\Figure%204%20(1)%20(1).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udara\Downloads\Figure%204%20(1)%20(1).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udara\Downloads\Figure%204%20(1)%20(1).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udara\Downloads\Figure%204%20(1)%20(1).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udara\Downloads\Figure%204%20(1)%20(1).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udara\Downloads\Figure%204%20(1)%20(1).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udara\Downloads\Figure%204%20(1)%20(1).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udara\Downloads\Figure%204%20(1)%20(1).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udara\Downloads\Figure%204%20(1)%20(1).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udara\Downloads\Figure%204%20(1)%20(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udara\Downloads\Figure%204%20(1)%20(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udara\Downloads\Figure%204%20(1)%20(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udara\Downloads\Figure%204%20(1)%20(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udara\Downloads\Figure%204%20(1)%20(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udara\Downloads\Figure%204%20(1)%20(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udara\Downloads\Figure%204%20(1)%20(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udara\Downloads\Figure%204%20(1)%20(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udara\Downloads\Figure%204%20(1)%20(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udara\Downloads\Figure%204%20(1)%20(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Book1"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Book1"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Book1"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Book1"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udara\OneDrive\Desktop\My%20Files\Research%20Work\Infiltration\Scatter%20plots.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udara\OneDrive\Desktop\My%20Files\Research%20Work\Infiltration\Scatter%20plots.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udara\OneDrive\Desktop\My%20Files\Research%20Work\Infiltration\Scatter%20plots.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udara\OneDrive\Desktop\My%20Files\Research%20Work\Infiltration\Scatter%20plots.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Book1"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Book1"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Book1"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'F 4_1'!$C$1</c:f>
              <c:strCache>
                <c:ptCount val="1"/>
                <c:pt idx="0">
                  <c:v>kh</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4_1'!$C$2:$C$17</c:f>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ser>
        <c:dLbls>
          <c:showLegendKey val="0"/>
          <c:showVal val="0"/>
          <c:showCatName val="0"/>
          <c:showSerName val="0"/>
          <c:showPercent val="0"/>
          <c:showBubbleSize val="0"/>
        </c:dLbls>
        <c:gapWidth val="219"/>
        <c:overlap val="-27"/>
        <c:axId val="863818992"/>
        <c:axId val="863820432"/>
      </c:barChart>
      <c:catAx>
        <c:axId val="86381899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63820432"/>
        <c:crosses val="autoZero"/>
        <c:auto val="1"/>
        <c:lblAlgn val="ctr"/>
        <c:lblOffset val="100"/>
        <c:tickLblSkip val="1"/>
        <c:noMultiLvlLbl val="0"/>
      </c:catAx>
      <c:valAx>
        <c:axId val="863820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kh/min</a:t>
                </a:r>
                <a:r>
                  <a:rPr lang="en-US" sz="600" b="0" baseline="30000">
                    <a:latin typeface="Times New Roman" panose="02020603050405020304" charset="0"/>
                    <a:ea typeface="Times New Roman" panose="02020603050405020304" charset="0"/>
                    <a:cs typeface="Times New Roman" panose="02020603050405020304" charset="0"/>
                    <a:sym typeface="Times New Roman" panose="02020603050405020304" charset="0"/>
                  </a:rPr>
                  <a:t>-1</a:t>
                </a: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 </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63818992"/>
        <c:crosses val="autoZero"/>
        <c:crossBetween val="between"/>
        <c:majorUnit val="0.5"/>
      </c:valAx>
      <c:spPr>
        <a:noFill/>
        <a:ln>
          <a:noFill/>
        </a:ln>
        <a:effectLst/>
      </c:spPr>
    </c:plotArea>
    <c:plotVisOnly val="1"/>
    <c:dispBlanksAs val="gap"/>
    <c:showDLblsOverMax val="0"/>
    <c:extLst>
      <c:ext uri="{0b15fc19-7d7d-44ad-8c2d-2c3a37ce22c3}">
        <chartProps xmlns="https://web.wps.cn/et/2018/main" chartId="{1fe81854-1c5e-48fb-898d-e4b8dc4bc654}"/>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 4_1'!$D$1</c:f>
              <c:strCache>
                <c:ptCount val="1"/>
                <c:pt idx="0">
                  <c:v>fo</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4_1'!$D$2:$D$17</c:f>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ser>
        <c:dLbls>
          <c:showLegendKey val="0"/>
          <c:showVal val="0"/>
          <c:showCatName val="0"/>
          <c:showSerName val="0"/>
          <c:showPercent val="0"/>
          <c:showBubbleSize val="0"/>
        </c:dLbls>
        <c:gapWidth val="219"/>
        <c:overlap val="-27"/>
        <c:axId val="1385557256"/>
        <c:axId val="1386882664"/>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ext>
        </c:extLst>
      </c:barChart>
      <c:catAx>
        <c:axId val="1385557256"/>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6882664"/>
        <c:crosses val="autoZero"/>
        <c:auto val="1"/>
        <c:lblAlgn val="ctr"/>
        <c:lblOffset val="100"/>
        <c:tickLblSkip val="1"/>
        <c:noMultiLvlLbl val="0"/>
      </c:catAx>
      <c:valAx>
        <c:axId val="1386882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fo </a:t>
                </a:r>
                <a:r>
                  <a:rPr lang="en-US" sz="600" b="0" i="0" u="none" strike="noStrike"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(cm/hr)</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5557256"/>
        <c:crosses val="autoZero"/>
        <c:crossBetween val="between"/>
        <c:majorUnit val="0.25"/>
      </c:valAx>
      <c:spPr>
        <a:noFill/>
        <a:ln>
          <a:noFill/>
        </a:ln>
        <a:effectLst/>
      </c:spPr>
    </c:plotArea>
    <c:plotVisOnly val="1"/>
    <c:dispBlanksAs val="gap"/>
    <c:showDLblsOverMax val="0"/>
    <c:extLst>
      <c:ext uri="{0b15fc19-7d7d-44ad-8c2d-2c3a37ce22c3}">
        <chartProps xmlns="https://web.wps.cn/et/2018/main" chartId="{233602b4-6ea2-47d2-aff3-39afd496c9b3}"/>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'F 4_1'!$E$1</c:f>
              <c:strCache>
                <c:ptCount val="1"/>
                <c:pt idx="0">
                  <c:v>fc</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4_1'!$E$2:$E$17</c:f>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ser>
        <c:dLbls>
          <c:showLegendKey val="0"/>
          <c:showVal val="0"/>
          <c:showCatName val="0"/>
          <c:showSerName val="0"/>
          <c:showPercent val="0"/>
          <c:showBubbleSize val="0"/>
        </c:dLbls>
        <c:gapWidth val="219"/>
        <c:overlap val="-27"/>
        <c:axId val="1384965864"/>
        <c:axId val="1384965504"/>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ext>
        </c:extLst>
      </c:barChart>
      <c:catAx>
        <c:axId val="138496586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4965504"/>
        <c:crosses val="autoZero"/>
        <c:auto val="1"/>
        <c:lblAlgn val="ctr"/>
        <c:lblOffset val="100"/>
        <c:tickLblSkip val="1"/>
        <c:noMultiLvlLbl val="0"/>
      </c:catAx>
      <c:valAx>
        <c:axId val="1384965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fc (cm/hr)</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4965864"/>
        <c:crosses val="autoZero"/>
        <c:crossBetween val="between"/>
        <c:majorUnit val="0.2"/>
        <c:minorUnit val="0.1"/>
      </c:valAx>
      <c:spPr>
        <a:noFill/>
        <a:ln>
          <a:noFill/>
        </a:ln>
        <a:effectLst/>
      </c:spPr>
    </c:plotArea>
    <c:plotVisOnly val="1"/>
    <c:dispBlanksAs val="gap"/>
    <c:showDLblsOverMax val="0"/>
    <c:extLst>
      <c:ext uri="{0b15fc19-7d7d-44ad-8c2d-2c3a37ce22c3}">
        <chartProps xmlns="https://web.wps.cn/et/2018/main" chartId="{7c63734e-73fd-4212-81d9-9cb6c78b0435}"/>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4"/>
          <c:tx>
            <c:strRef>
              <c:f>'F 4_1'!$G$1</c:f>
              <c:strCache>
                <c:ptCount val="1"/>
                <c:pt idx="0">
                  <c:v>k</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4_1'!$G$2:$G$17</c:f>
              <c:numCache>
                <c:formatCode>General</c:formatCode>
                <c:ptCount val="16"/>
                <c:pt idx="0">
                  <c:v>0.119</c:v>
                </c:pt>
                <c:pt idx="1">
                  <c:v>0.243</c:v>
                </c:pt>
                <c:pt idx="2">
                  <c:v>0.335</c:v>
                </c:pt>
                <c:pt idx="3">
                  <c:v>0.195</c:v>
                </c:pt>
                <c:pt idx="4">
                  <c:v>0.129</c:v>
                </c:pt>
                <c:pt idx="5">
                  <c:v>0.463</c:v>
                </c:pt>
                <c:pt idx="6">
                  <c:v>0.236</c:v>
                </c:pt>
                <c:pt idx="7">
                  <c:v>0.163</c:v>
                </c:pt>
                <c:pt idx="8">
                  <c:v>0.389</c:v>
                </c:pt>
                <c:pt idx="9">
                  <c:v>0.437</c:v>
                </c:pt>
                <c:pt idx="10">
                  <c:v>0.107</c:v>
                </c:pt>
                <c:pt idx="11">
                  <c:v>0.072</c:v>
                </c:pt>
                <c:pt idx="12">
                  <c:v>0.405</c:v>
                </c:pt>
                <c:pt idx="13">
                  <c:v>0.389</c:v>
                </c:pt>
                <c:pt idx="14">
                  <c:v>0.234</c:v>
                </c:pt>
                <c:pt idx="15">
                  <c:v>0.289</c:v>
                </c:pt>
              </c:numCache>
            </c:numRef>
          </c:val>
        </c:ser>
        <c:dLbls>
          <c:showLegendKey val="0"/>
          <c:showVal val="0"/>
          <c:showCatName val="0"/>
          <c:showSerName val="0"/>
          <c:showPercent val="0"/>
          <c:showBubbleSize val="0"/>
        </c:dLbls>
        <c:gapWidth val="219"/>
        <c:overlap val="-27"/>
        <c:axId val="716445152"/>
        <c:axId val="716446952"/>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15:filteredBarSeries>
              <c15:ser>
                <c:idx val="3"/>
                <c:order val="3"/>
                <c:tx>
                  <c:strRef>
                    <c:extLst>
                      <c:ext uri="{02D57815-91ED-43cb-92C2-25804820EDAC}">
                        <c15:formulaRef>
                          <c15:sqref>'F 4_1'!$F$1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4_1'!$F$2:$F$17</c15:sqref>
                        </c15:formulaRef>
                      </c:ext>
                    </c:extLst>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15:ser>
            </c15:filteredBarSeries>
          </c:ext>
        </c:extLst>
      </c:barChart>
      <c:catAx>
        <c:axId val="71644515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16446952"/>
        <c:crosses val="autoZero"/>
        <c:auto val="1"/>
        <c:lblAlgn val="ctr"/>
        <c:lblOffset val="100"/>
        <c:tickLblSkip val="1"/>
        <c:noMultiLvlLbl val="0"/>
      </c:catAx>
      <c:valAx>
        <c:axId val="716446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K (cm/hr)</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16445152"/>
        <c:crosses val="autoZero"/>
        <c:crossBetween val="between"/>
        <c:majorUnit val="0.1"/>
        <c:minorUnit val="0.05"/>
      </c:valAx>
      <c:spPr>
        <a:noFill/>
        <a:ln>
          <a:noFill/>
        </a:ln>
        <a:effectLst/>
      </c:spPr>
    </c:plotArea>
    <c:plotVisOnly val="1"/>
    <c:dispBlanksAs val="gap"/>
    <c:showDLblsOverMax val="0"/>
    <c:extLst>
      <c:ext uri="{0b15fc19-7d7d-44ad-8c2d-2c3a37ce22c3}">
        <chartProps xmlns="https://web.wps.cn/et/2018/main" chartId="{4f0272e7-dc56-4194-8294-5f9de101ddc6}"/>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3"/>
          <c:order val="3"/>
          <c:tx>
            <c:strRef>
              <c:f>'F 4_1'!$F$1</c:f>
              <c:strCache>
                <c:ptCount val="1"/>
                <c:pt idx="0">
                  <c:v>s</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4_1'!$F$2:$F$17</c:f>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ser>
        <c:dLbls>
          <c:showLegendKey val="0"/>
          <c:showVal val="0"/>
          <c:showCatName val="0"/>
          <c:showSerName val="0"/>
          <c:showPercent val="0"/>
          <c:showBubbleSize val="0"/>
        </c:dLbls>
        <c:gapWidth val="219"/>
        <c:overlap val="-27"/>
        <c:axId val="1384950168"/>
        <c:axId val="1384951968"/>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5">
                      <a:tint val="58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5">
                      <a:tint val="86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5">
                      <a:shade val="86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ext>
        </c:extLst>
      </c:barChart>
      <c:catAx>
        <c:axId val="138495016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4951968"/>
        <c:crosses val="autoZero"/>
        <c:auto val="1"/>
        <c:lblAlgn val="ctr"/>
        <c:lblOffset val="100"/>
        <c:tickLblSkip val="1"/>
        <c:noMultiLvlLbl val="0"/>
      </c:catAx>
      <c:valAx>
        <c:axId val="1384951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s (</a:t>
                </a:r>
                <a:r>
                  <a:rPr lang="en-US" sz="600" b="0" i="0" u="none" strike="noStrike"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cm/hr</a:t>
                </a:r>
                <a:r>
                  <a:rPr lang="en-US" sz="600" b="0" i="0" u="none" strike="noStrike" baseline="3000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0.5</a:t>
                </a: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4950168"/>
        <c:crosses val="autoZero"/>
        <c:crossBetween val="between"/>
        <c:majorUnit val="0.5"/>
        <c:minorUnit val="0.2"/>
      </c:valAx>
      <c:spPr>
        <a:noFill/>
        <a:ln>
          <a:noFill/>
        </a:ln>
        <a:effectLst/>
      </c:spPr>
    </c:plotArea>
    <c:plotVisOnly val="1"/>
    <c:dispBlanksAs val="gap"/>
    <c:showDLblsOverMax val="0"/>
    <c:extLst>
      <c:ext uri="{0b15fc19-7d7d-44ad-8c2d-2c3a37ce22c3}">
        <chartProps xmlns="https://web.wps.cn/et/2018/main" chartId="{16f142a2-6afa-4e51-9f3b-8640c3cbacce}"/>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5"/>
          <c:order val="5"/>
          <c:tx>
            <c:strRef>
              <c:f>'F 4_1'!$H$1</c:f>
              <c:strCache>
                <c:ptCount val="1"/>
                <c:pt idx="0">
                  <c:v>a</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4_1'!$H$2:$H$17</c:f>
              <c:numCache>
                <c:formatCode>General</c:formatCode>
                <c:ptCount val="16"/>
                <c:pt idx="0">
                  <c:v>0.938</c:v>
                </c:pt>
                <c:pt idx="1">
                  <c:v>0.657</c:v>
                </c:pt>
                <c:pt idx="2">
                  <c:v>0.757</c:v>
                </c:pt>
                <c:pt idx="3">
                  <c:v>0.787</c:v>
                </c:pt>
                <c:pt idx="4">
                  <c:v>0.673</c:v>
                </c:pt>
                <c:pt idx="5">
                  <c:v>0.724</c:v>
                </c:pt>
                <c:pt idx="6">
                  <c:v>0.836</c:v>
                </c:pt>
                <c:pt idx="7">
                  <c:v>0.999</c:v>
                </c:pt>
                <c:pt idx="8">
                  <c:v>0.941</c:v>
                </c:pt>
                <c:pt idx="9">
                  <c:v>0.886</c:v>
                </c:pt>
                <c:pt idx="10">
                  <c:v>0.851</c:v>
                </c:pt>
                <c:pt idx="11">
                  <c:v>0.879</c:v>
                </c:pt>
                <c:pt idx="12">
                  <c:v>0.999</c:v>
                </c:pt>
                <c:pt idx="13">
                  <c:v>0.796</c:v>
                </c:pt>
                <c:pt idx="14">
                  <c:v>0.959</c:v>
                </c:pt>
                <c:pt idx="15">
                  <c:v>0.864</c:v>
                </c:pt>
              </c:numCache>
            </c:numRef>
          </c:val>
        </c:ser>
        <c:dLbls>
          <c:showLegendKey val="0"/>
          <c:showVal val="0"/>
          <c:showCatName val="0"/>
          <c:showSerName val="0"/>
          <c:showPercent val="0"/>
          <c:showBubbleSize val="0"/>
        </c:dLbls>
        <c:gapWidth val="219"/>
        <c:overlap val="-27"/>
        <c:axId val="1386989352"/>
        <c:axId val="1386988632"/>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5">
                      <a:tint val="5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5">
                      <a:tint val="7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5">
                      <a:tint val="9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15:filteredBarSeries>
              <c15:ser>
                <c:idx val="3"/>
                <c:order val="3"/>
                <c:tx>
                  <c:strRef>
                    <c:extLst>
                      <c:ext uri="{02D57815-91ED-43cb-92C2-25804820EDAC}">
                        <c15:formulaRef>
                          <c15:sqref>'F 4_1'!$F$1</c15:sqref>
                        </c15:formulaRef>
                      </c:ext>
                    </c:extLst>
                    <c:strCache>
                      <c:ptCount val="1"/>
                      <c:pt idx="0">
                        <c:v>s</c:v>
                      </c:pt>
                    </c:strCache>
                  </c:strRef>
                </c:tx>
                <c:spPr>
                  <a:solidFill>
                    <a:schemeClr val="accent5">
                      <a:shade val="9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4_1'!$F$2:$F$17</c15:sqref>
                        </c15:formulaRef>
                      </c:ext>
                    </c:extLst>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15:ser>
            </c15:filteredBarSeries>
            <c15:filteredBarSeries>
              <c15:ser>
                <c:idx val="4"/>
                <c:order val="4"/>
                <c:tx>
                  <c:strRef>
                    <c:extLst>
                      <c:ext uri="{02D57815-91ED-43cb-92C2-25804820EDAC}">
                        <c15:formulaRef>
                          <c15:sqref>'F 4_1'!$G$1</c15:sqref>
                        </c15:formulaRef>
                      </c:ext>
                    </c:extLst>
                    <c:strCache>
                      <c:ptCount val="1"/>
                      <c:pt idx="0">
                        <c:v>k</c:v>
                      </c:pt>
                    </c:strCache>
                  </c:strRef>
                </c:tx>
                <c:spPr>
                  <a:solidFill>
                    <a:schemeClr val="accent5">
                      <a:shade val="7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4_1'!$G$2:$G$17</c15:sqref>
                        </c15:formulaRef>
                      </c:ext>
                    </c:extLst>
                    <c:numCache>
                      <c:formatCode>General</c:formatCode>
                      <c:ptCount val="16"/>
                      <c:pt idx="0">
                        <c:v>0.119</c:v>
                      </c:pt>
                      <c:pt idx="1">
                        <c:v>0.243</c:v>
                      </c:pt>
                      <c:pt idx="2">
                        <c:v>0.335</c:v>
                      </c:pt>
                      <c:pt idx="3">
                        <c:v>0.195</c:v>
                      </c:pt>
                      <c:pt idx="4">
                        <c:v>0.129</c:v>
                      </c:pt>
                      <c:pt idx="5">
                        <c:v>0.463</c:v>
                      </c:pt>
                      <c:pt idx="6">
                        <c:v>0.236</c:v>
                      </c:pt>
                      <c:pt idx="7">
                        <c:v>0.163</c:v>
                      </c:pt>
                      <c:pt idx="8">
                        <c:v>0.389</c:v>
                      </c:pt>
                      <c:pt idx="9">
                        <c:v>0.437</c:v>
                      </c:pt>
                      <c:pt idx="10">
                        <c:v>0.107</c:v>
                      </c:pt>
                      <c:pt idx="11">
                        <c:v>0.072</c:v>
                      </c:pt>
                      <c:pt idx="12">
                        <c:v>0.405</c:v>
                      </c:pt>
                      <c:pt idx="13">
                        <c:v>0.389</c:v>
                      </c:pt>
                      <c:pt idx="14">
                        <c:v>0.234</c:v>
                      </c:pt>
                      <c:pt idx="15">
                        <c:v>0.289</c:v>
                      </c:pt>
                    </c:numCache>
                  </c:numRef>
                </c:val>
              </c15:ser>
            </c15:filteredBarSeries>
          </c:ext>
        </c:extLst>
      </c:barChart>
      <c:catAx>
        <c:axId val="138698935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6988632"/>
        <c:crosses val="autoZero"/>
        <c:auto val="1"/>
        <c:lblAlgn val="ctr"/>
        <c:lblOffset val="100"/>
        <c:tickLblSkip val="1"/>
        <c:noMultiLvlLbl val="0"/>
      </c:catAx>
      <c:valAx>
        <c:axId val="1386988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a</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6989352"/>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218cb1ad-d856-435b-b23d-0cdb6d9e191c}"/>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6"/>
          <c:order val="6"/>
          <c:tx>
            <c:strRef>
              <c:f>'F 4_1'!$I$1</c:f>
              <c:strCache>
                <c:ptCount val="1"/>
                <c:pt idx="0">
                  <c:v>b</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4_1'!$I$2:$I$17</c:f>
              <c:numCache>
                <c:formatCode>General</c:formatCode>
                <c:ptCount val="16"/>
                <c:pt idx="0">
                  <c:v>0.307</c:v>
                </c:pt>
                <c:pt idx="1">
                  <c:v>0.31</c:v>
                </c:pt>
                <c:pt idx="2">
                  <c:v>0.508</c:v>
                </c:pt>
                <c:pt idx="3">
                  <c:v>0.258</c:v>
                </c:pt>
                <c:pt idx="4">
                  <c:v>0.481</c:v>
                </c:pt>
                <c:pt idx="5">
                  <c:v>0.717</c:v>
                </c:pt>
                <c:pt idx="6">
                  <c:v>0.369</c:v>
                </c:pt>
                <c:pt idx="7">
                  <c:v>0.201</c:v>
                </c:pt>
                <c:pt idx="8">
                  <c:v>0.495</c:v>
                </c:pt>
                <c:pt idx="9">
                  <c:v>1.205</c:v>
                </c:pt>
                <c:pt idx="10">
                  <c:v>0.389</c:v>
                </c:pt>
                <c:pt idx="11">
                  <c:v>1.194</c:v>
                </c:pt>
                <c:pt idx="12">
                  <c:v>0.4</c:v>
                </c:pt>
                <c:pt idx="13">
                  <c:v>0.541</c:v>
                </c:pt>
                <c:pt idx="14">
                  <c:v>0.502</c:v>
                </c:pt>
                <c:pt idx="15">
                  <c:v>1.145</c:v>
                </c:pt>
              </c:numCache>
            </c:numRef>
          </c:val>
        </c:ser>
        <c:dLbls>
          <c:showLegendKey val="0"/>
          <c:showVal val="0"/>
          <c:showCatName val="0"/>
          <c:showSerName val="0"/>
          <c:showPercent val="0"/>
          <c:showBubbleSize val="0"/>
        </c:dLbls>
        <c:gapWidth val="219"/>
        <c:overlap val="-27"/>
        <c:axId val="714708704"/>
        <c:axId val="1384268192"/>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5">
                      <a:tint val="48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5">
                      <a:tint val="65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5">
                      <a:tint val="83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15:filteredBarSeries>
              <c15:ser>
                <c:idx val="3"/>
                <c:order val="3"/>
                <c:tx>
                  <c:strRef>
                    <c:extLst>
                      <c:ext uri="{02D57815-91ED-43cb-92C2-25804820EDAC}">
                        <c15:formulaRef>
                          <c15:sqref>'F 4_1'!$F$1</c15:sqref>
                        </c15:formulaRef>
                      </c:ext>
                    </c:extLst>
                    <c:strCache>
                      <c:ptCount val="1"/>
                      <c:pt idx="0">
                        <c:v>s</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4_1'!$F$2:$F$17</c15:sqref>
                        </c15:formulaRef>
                      </c:ext>
                    </c:extLst>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15:ser>
            </c15:filteredBarSeries>
            <c15:filteredBarSeries>
              <c15:ser>
                <c:idx val="4"/>
                <c:order val="4"/>
                <c:tx>
                  <c:strRef>
                    <c:extLst>
                      <c:ext uri="{02D57815-91ED-43cb-92C2-25804820EDAC}">
                        <c15:formulaRef>
                          <c15:sqref>'F 4_1'!$G$1</c15:sqref>
                        </c15:formulaRef>
                      </c:ext>
                    </c:extLst>
                    <c:strCache>
                      <c:ptCount val="1"/>
                      <c:pt idx="0">
                        <c:v>k</c:v>
                      </c:pt>
                    </c:strCache>
                  </c:strRef>
                </c:tx>
                <c:spPr>
                  <a:solidFill>
                    <a:schemeClr val="accent5">
                      <a:shade val="82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4_1'!$G$2:$G$17</c15:sqref>
                        </c15:formulaRef>
                      </c:ext>
                    </c:extLst>
                    <c:numCache>
                      <c:formatCode>General</c:formatCode>
                      <c:ptCount val="16"/>
                      <c:pt idx="0">
                        <c:v>0.119</c:v>
                      </c:pt>
                      <c:pt idx="1">
                        <c:v>0.243</c:v>
                      </c:pt>
                      <c:pt idx="2">
                        <c:v>0.335</c:v>
                      </c:pt>
                      <c:pt idx="3">
                        <c:v>0.195</c:v>
                      </c:pt>
                      <c:pt idx="4">
                        <c:v>0.129</c:v>
                      </c:pt>
                      <c:pt idx="5">
                        <c:v>0.463</c:v>
                      </c:pt>
                      <c:pt idx="6">
                        <c:v>0.236</c:v>
                      </c:pt>
                      <c:pt idx="7">
                        <c:v>0.163</c:v>
                      </c:pt>
                      <c:pt idx="8">
                        <c:v>0.389</c:v>
                      </c:pt>
                      <c:pt idx="9">
                        <c:v>0.437</c:v>
                      </c:pt>
                      <c:pt idx="10">
                        <c:v>0.107</c:v>
                      </c:pt>
                      <c:pt idx="11">
                        <c:v>0.072</c:v>
                      </c:pt>
                      <c:pt idx="12">
                        <c:v>0.405</c:v>
                      </c:pt>
                      <c:pt idx="13">
                        <c:v>0.389</c:v>
                      </c:pt>
                      <c:pt idx="14">
                        <c:v>0.234</c:v>
                      </c:pt>
                      <c:pt idx="15">
                        <c:v>0.289</c:v>
                      </c:pt>
                    </c:numCache>
                  </c:numRef>
                </c:val>
              </c15:ser>
            </c15:filteredBarSeries>
            <c15:filteredBarSeries>
              <c15:ser>
                <c:idx val="5"/>
                <c:order val="5"/>
                <c:tx>
                  <c:strRef>
                    <c:extLst>
                      <c:ext uri="{02D57815-91ED-43cb-92C2-25804820EDAC}">
                        <c15:formulaRef>
                          <c15:sqref>'F 4_1'!$H$1</c15:sqref>
                        </c15:formulaRef>
                      </c:ext>
                    </c:extLst>
                    <c:strCache>
                      <c:ptCount val="1"/>
                      <c:pt idx="0">
                        <c:v>a</c:v>
                      </c:pt>
                    </c:strCache>
                  </c:strRef>
                </c:tx>
                <c:spPr>
                  <a:solidFill>
                    <a:schemeClr val="accent5">
                      <a:shade val="65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4_1'!$H$2:$H$17</c15:sqref>
                        </c15:formulaRef>
                      </c:ext>
                    </c:extLst>
                    <c:numCache>
                      <c:formatCode>General</c:formatCode>
                      <c:ptCount val="16"/>
                      <c:pt idx="0">
                        <c:v>0.938</c:v>
                      </c:pt>
                      <c:pt idx="1">
                        <c:v>0.657</c:v>
                      </c:pt>
                      <c:pt idx="2">
                        <c:v>0.757</c:v>
                      </c:pt>
                      <c:pt idx="3">
                        <c:v>0.787</c:v>
                      </c:pt>
                      <c:pt idx="4">
                        <c:v>0.673</c:v>
                      </c:pt>
                      <c:pt idx="5">
                        <c:v>0.724</c:v>
                      </c:pt>
                      <c:pt idx="6">
                        <c:v>0.836</c:v>
                      </c:pt>
                      <c:pt idx="7">
                        <c:v>0.999</c:v>
                      </c:pt>
                      <c:pt idx="8">
                        <c:v>0.941</c:v>
                      </c:pt>
                      <c:pt idx="9">
                        <c:v>0.886</c:v>
                      </c:pt>
                      <c:pt idx="10">
                        <c:v>0.851</c:v>
                      </c:pt>
                      <c:pt idx="11">
                        <c:v>0.879</c:v>
                      </c:pt>
                      <c:pt idx="12">
                        <c:v>0.999</c:v>
                      </c:pt>
                      <c:pt idx="13">
                        <c:v>0.796</c:v>
                      </c:pt>
                      <c:pt idx="14">
                        <c:v>0.959</c:v>
                      </c:pt>
                      <c:pt idx="15">
                        <c:v>0.864</c:v>
                      </c:pt>
                    </c:numCache>
                  </c:numRef>
                </c:val>
              </c15:ser>
            </c15:filteredBarSeries>
          </c:ext>
        </c:extLst>
      </c:barChart>
      <c:catAx>
        <c:axId val="71470870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4268192"/>
        <c:crosses val="autoZero"/>
        <c:auto val="1"/>
        <c:lblAlgn val="ctr"/>
        <c:lblOffset val="100"/>
        <c:tickLblSkip val="1"/>
        <c:noMultiLvlLbl val="0"/>
      </c:catAx>
      <c:valAx>
        <c:axId val="1384268192"/>
        <c:scaling>
          <c:orientation val="minMax"/>
          <c:max val="1.4"/>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b</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14708704"/>
        <c:crosses val="autoZero"/>
        <c:crossBetween val="between"/>
        <c:majorUnit val="0.25"/>
        <c:minorUnit val="0.2"/>
      </c:valAx>
      <c:spPr>
        <a:noFill/>
        <a:ln>
          <a:noFill/>
        </a:ln>
        <a:effectLst/>
      </c:spPr>
    </c:plotArea>
    <c:plotVisOnly val="1"/>
    <c:dispBlanksAs val="gap"/>
    <c:showDLblsOverMax val="0"/>
    <c:extLst>
      <c:ext uri="{0b15fc19-7d7d-44ad-8c2d-2c3a37ce22c3}">
        <chartProps xmlns="https://web.wps.cn/et/2018/main" chartId="{98b74f62-cf75-4db4-9031-9be20303eedb}"/>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7"/>
          <c:order val="7"/>
          <c:tx>
            <c:strRef>
              <c:f>'F 4_1'!$J$1</c:f>
              <c:strCache>
                <c:ptCount val="1"/>
                <c:pt idx="0">
                  <c:v>n</c:v>
                </c:pt>
              </c:strCache>
            </c:strRef>
          </c:tx>
          <c:spPr>
            <a:solidFill>
              <a:schemeClr val="accent5"/>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4_1'!$J$2:$J$17</c:f>
              <c:numCache>
                <c:formatCode>General</c:formatCode>
                <c:ptCount val="16"/>
                <c:pt idx="0">
                  <c:v>0.015</c:v>
                </c:pt>
                <c:pt idx="1">
                  <c:v>0.015</c:v>
                </c:pt>
                <c:pt idx="2">
                  <c:v>0.047</c:v>
                </c:pt>
                <c:pt idx="3">
                  <c:v>0.174</c:v>
                </c:pt>
                <c:pt idx="4">
                  <c:v>0.319</c:v>
                </c:pt>
                <c:pt idx="5">
                  <c:v>0.029</c:v>
                </c:pt>
                <c:pt idx="6">
                  <c:v>0.038</c:v>
                </c:pt>
                <c:pt idx="7">
                  <c:v>0.111</c:v>
                </c:pt>
                <c:pt idx="8">
                  <c:v>0.12</c:v>
                </c:pt>
                <c:pt idx="9">
                  <c:v>0.392</c:v>
                </c:pt>
                <c:pt idx="10">
                  <c:v>0.045</c:v>
                </c:pt>
                <c:pt idx="11">
                  <c:v>0.373</c:v>
                </c:pt>
                <c:pt idx="12">
                  <c:v>0.046</c:v>
                </c:pt>
                <c:pt idx="13">
                  <c:v>0.037</c:v>
                </c:pt>
                <c:pt idx="14">
                  <c:v>0.141</c:v>
                </c:pt>
                <c:pt idx="15">
                  <c:v>0.169</c:v>
                </c:pt>
              </c:numCache>
            </c:numRef>
          </c:val>
        </c:ser>
        <c:dLbls>
          <c:showLegendKey val="0"/>
          <c:showVal val="0"/>
          <c:showCatName val="0"/>
          <c:showSerName val="0"/>
          <c:showPercent val="0"/>
          <c:showBubbleSize val="0"/>
        </c:dLbls>
        <c:gapWidth val="219"/>
        <c:overlap val="-27"/>
        <c:axId val="588716008"/>
        <c:axId val="588716368"/>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5">
                      <a:tint val="46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5">
                      <a:tint val="62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5">
                      <a:tint val="77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15:filteredBarSeries>
              <c15:ser>
                <c:idx val="3"/>
                <c:order val="3"/>
                <c:tx>
                  <c:strRef>
                    <c:extLst>
                      <c:ext uri="{02D57815-91ED-43cb-92C2-25804820EDAC}">
                        <c15:formulaRef>
                          <c15:sqref>'F 4_1'!$F$1</c15:sqref>
                        </c15:formulaRef>
                      </c:ext>
                    </c:extLst>
                    <c:strCache>
                      <c:ptCount val="1"/>
                      <c:pt idx="0">
                        <c:v>s</c:v>
                      </c:pt>
                    </c:strCache>
                  </c:strRef>
                </c:tx>
                <c:spPr>
                  <a:solidFill>
                    <a:schemeClr val="accent5">
                      <a:tint val="93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4_1'!$F$2:$F$17</c15:sqref>
                        </c15:formulaRef>
                      </c:ext>
                    </c:extLst>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15:ser>
            </c15:filteredBarSeries>
            <c15:filteredBarSeries>
              <c15:ser>
                <c:idx val="4"/>
                <c:order val="4"/>
                <c:tx>
                  <c:strRef>
                    <c:extLst>
                      <c:ext uri="{02D57815-91ED-43cb-92C2-25804820EDAC}">
                        <c15:formulaRef>
                          <c15:sqref>'F 4_1'!$G$1</c15:sqref>
                        </c15:formulaRef>
                      </c:ext>
                    </c:extLst>
                    <c:strCache>
                      <c:ptCount val="1"/>
                      <c:pt idx="0">
                        <c:v>k</c:v>
                      </c:pt>
                    </c:strCache>
                  </c:strRef>
                </c:tx>
                <c:spPr>
                  <a:solidFill>
                    <a:schemeClr val="accent5">
                      <a:shade val="92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4_1'!$G$2:$G$17</c15:sqref>
                        </c15:formulaRef>
                      </c:ext>
                    </c:extLst>
                    <c:numCache>
                      <c:formatCode>General</c:formatCode>
                      <c:ptCount val="16"/>
                      <c:pt idx="0">
                        <c:v>0.119</c:v>
                      </c:pt>
                      <c:pt idx="1">
                        <c:v>0.243</c:v>
                      </c:pt>
                      <c:pt idx="2">
                        <c:v>0.335</c:v>
                      </c:pt>
                      <c:pt idx="3">
                        <c:v>0.195</c:v>
                      </c:pt>
                      <c:pt idx="4">
                        <c:v>0.129</c:v>
                      </c:pt>
                      <c:pt idx="5">
                        <c:v>0.463</c:v>
                      </c:pt>
                      <c:pt idx="6">
                        <c:v>0.236</c:v>
                      </c:pt>
                      <c:pt idx="7">
                        <c:v>0.163</c:v>
                      </c:pt>
                      <c:pt idx="8">
                        <c:v>0.389</c:v>
                      </c:pt>
                      <c:pt idx="9">
                        <c:v>0.437</c:v>
                      </c:pt>
                      <c:pt idx="10">
                        <c:v>0.107</c:v>
                      </c:pt>
                      <c:pt idx="11">
                        <c:v>0.072</c:v>
                      </c:pt>
                      <c:pt idx="12">
                        <c:v>0.405</c:v>
                      </c:pt>
                      <c:pt idx="13">
                        <c:v>0.389</c:v>
                      </c:pt>
                      <c:pt idx="14">
                        <c:v>0.234</c:v>
                      </c:pt>
                      <c:pt idx="15">
                        <c:v>0.289</c:v>
                      </c:pt>
                    </c:numCache>
                  </c:numRef>
                </c:val>
              </c15:ser>
            </c15:filteredBarSeries>
            <c15:filteredBarSeries>
              <c15:ser>
                <c:idx val="5"/>
                <c:order val="5"/>
                <c:tx>
                  <c:strRef>
                    <c:extLst>
                      <c:ext uri="{02D57815-91ED-43cb-92C2-25804820EDAC}">
                        <c15:formulaRef>
                          <c15:sqref>'F 4_1'!$H$1</c15:sqref>
                        </c15:formulaRef>
                      </c:ext>
                    </c:extLst>
                    <c:strCache>
                      <c:ptCount val="1"/>
                      <c:pt idx="0">
                        <c:v>a</c:v>
                      </c:pt>
                    </c:strCache>
                  </c:strRef>
                </c:tx>
                <c:spPr>
                  <a:solidFill>
                    <a:schemeClr val="accent5">
                      <a:shade val="76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4_1'!$H$2:$H$17</c15:sqref>
                        </c15:formulaRef>
                      </c:ext>
                    </c:extLst>
                    <c:numCache>
                      <c:formatCode>General</c:formatCode>
                      <c:ptCount val="16"/>
                      <c:pt idx="0">
                        <c:v>0.938</c:v>
                      </c:pt>
                      <c:pt idx="1">
                        <c:v>0.657</c:v>
                      </c:pt>
                      <c:pt idx="2">
                        <c:v>0.757</c:v>
                      </c:pt>
                      <c:pt idx="3">
                        <c:v>0.787</c:v>
                      </c:pt>
                      <c:pt idx="4">
                        <c:v>0.673</c:v>
                      </c:pt>
                      <c:pt idx="5">
                        <c:v>0.724</c:v>
                      </c:pt>
                      <c:pt idx="6">
                        <c:v>0.836</c:v>
                      </c:pt>
                      <c:pt idx="7">
                        <c:v>0.999</c:v>
                      </c:pt>
                      <c:pt idx="8">
                        <c:v>0.941</c:v>
                      </c:pt>
                      <c:pt idx="9">
                        <c:v>0.886</c:v>
                      </c:pt>
                      <c:pt idx="10">
                        <c:v>0.851</c:v>
                      </c:pt>
                      <c:pt idx="11">
                        <c:v>0.879</c:v>
                      </c:pt>
                      <c:pt idx="12">
                        <c:v>0.999</c:v>
                      </c:pt>
                      <c:pt idx="13">
                        <c:v>0.796</c:v>
                      </c:pt>
                      <c:pt idx="14">
                        <c:v>0.959</c:v>
                      </c:pt>
                      <c:pt idx="15">
                        <c:v>0.864</c:v>
                      </c:pt>
                    </c:numCache>
                  </c:numRef>
                </c:val>
              </c15:ser>
            </c15:filteredBarSeries>
            <c15:filteredBarSeries>
              <c15:ser>
                <c:idx val="6"/>
                <c:order val="6"/>
                <c:tx>
                  <c:strRef>
                    <c:extLst>
                      <c:ext uri="{02D57815-91ED-43cb-92C2-25804820EDAC}">
                        <c15:formulaRef>
                          <c15:sqref>'F 4_1'!$I$1</c15:sqref>
                        </c15:formulaRef>
                      </c:ext>
                    </c:extLst>
                    <c:strCache>
                      <c:ptCount val="1"/>
                      <c:pt idx="0">
                        <c:v>b</c:v>
                      </c:pt>
                    </c:strCache>
                  </c:strRef>
                </c:tx>
                <c:spPr>
                  <a:solidFill>
                    <a:schemeClr val="accent5">
                      <a:shade val="61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4_1'!$I$2:$I$17</c15:sqref>
                        </c15:formulaRef>
                      </c:ext>
                    </c:extLst>
                    <c:numCache>
                      <c:formatCode>General</c:formatCode>
                      <c:ptCount val="16"/>
                      <c:pt idx="0">
                        <c:v>0.307</c:v>
                      </c:pt>
                      <c:pt idx="1">
                        <c:v>0.31</c:v>
                      </c:pt>
                      <c:pt idx="2">
                        <c:v>0.508</c:v>
                      </c:pt>
                      <c:pt idx="3">
                        <c:v>0.258</c:v>
                      </c:pt>
                      <c:pt idx="4">
                        <c:v>0.481</c:v>
                      </c:pt>
                      <c:pt idx="5">
                        <c:v>0.717</c:v>
                      </c:pt>
                      <c:pt idx="6">
                        <c:v>0.369</c:v>
                      </c:pt>
                      <c:pt idx="7">
                        <c:v>0.201</c:v>
                      </c:pt>
                      <c:pt idx="8">
                        <c:v>0.495</c:v>
                      </c:pt>
                      <c:pt idx="9">
                        <c:v>1.205</c:v>
                      </c:pt>
                      <c:pt idx="10">
                        <c:v>0.389</c:v>
                      </c:pt>
                      <c:pt idx="11">
                        <c:v>1.194</c:v>
                      </c:pt>
                      <c:pt idx="12">
                        <c:v>0.4</c:v>
                      </c:pt>
                      <c:pt idx="13">
                        <c:v>0.541</c:v>
                      </c:pt>
                      <c:pt idx="14">
                        <c:v>0.502</c:v>
                      </c:pt>
                      <c:pt idx="15">
                        <c:v>1.145</c:v>
                      </c:pt>
                    </c:numCache>
                  </c:numRef>
                </c:val>
              </c15:ser>
            </c15:filteredBarSeries>
          </c:ext>
        </c:extLst>
      </c:barChart>
      <c:catAx>
        <c:axId val="58871600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88716368"/>
        <c:crosses val="autoZero"/>
        <c:auto val="1"/>
        <c:lblAlgn val="ctr"/>
        <c:lblOffset val="100"/>
        <c:tickLblSkip val="1"/>
        <c:noMultiLvlLbl val="0"/>
      </c:catAx>
      <c:valAx>
        <c:axId val="588716368"/>
        <c:scaling>
          <c:orientation val="minMax"/>
          <c:max val="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rPr>
                  <a:t>𝑛 (cm2/hr) </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88716008"/>
        <c:crosses val="autoZero"/>
        <c:crossBetween val="between"/>
        <c:majorUnit val="0.1"/>
        <c:minorUnit val="0.05"/>
      </c:valAx>
      <c:spPr>
        <a:noFill/>
        <a:ln>
          <a:noFill/>
        </a:ln>
        <a:effectLst/>
      </c:spPr>
    </c:plotArea>
    <c:plotVisOnly val="1"/>
    <c:dispBlanksAs val="gap"/>
    <c:showDLblsOverMax val="0"/>
    <c:extLst>
      <c:ext uri="{0b15fc19-7d7d-44ad-8c2d-2c3a37ce22c3}">
        <chartProps xmlns="https://web.wps.cn/et/2018/main" chartId="{de757fc9-1ae3-4b12-b09d-abfdfe5aa26a}"/>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8"/>
          <c:order val="8"/>
          <c:tx>
            <c:strRef>
              <c:f>'F 4_1'!$K$1</c:f>
              <c:strCache>
                <c:ptCount val="1"/>
                <c:pt idx="0">
                  <c:v>m</c:v>
                </c:pt>
              </c:strCache>
            </c:strRef>
          </c:tx>
          <c:spPr>
            <a:solidFill>
              <a:schemeClr val="accent5">
                <a:lumMod val="80000"/>
                <a:lumOff val="20000"/>
              </a:schemeClr>
            </a:solidFill>
            <a:ln>
              <a:noFill/>
            </a:ln>
            <a:effectLst/>
          </c:spPr>
          <c:invertIfNegative val="0"/>
          <c:dLbls>
            <c:delete val="1"/>
          </c:dLbls>
          <c:cat>
            <c:multiLvlStrRef>
              <c:f>'F 4_1'!$A$2:$B$17</c:f>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f>'F 4_1'!$K$2:$K$17</c:f>
              <c:numCache>
                <c:formatCode>General</c:formatCode>
                <c:ptCount val="16"/>
                <c:pt idx="0">
                  <c:v>0.225</c:v>
                </c:pt>
                <c:pt idx="1">
                  <c:v>0.225</c:v>
                </c:pt>
                <c:pt idx="2">
                  <c:v>0.474</c:v>
                </c:pt>
                <c:pt idx="3">
                  <c:v>0.345</c:v>
                </c:pt>
                <c:pt idx="4">
                  <c:v>0.007</c:v>
                </c:pt>
                <c:pt idx="5">
                  <c:v>0.329</c:v>
                </c:pt>
                <c:pt idx="6">
                  <c:v>0.219</c:v>
                </c:pt>
                <c:pt idx="7">
                  <c:v>0.311</c:v>
                </c:pt>
                <c:pt idx="8">
                  <c:v>0.394</c:v>
                </c:pt>
                <c:pt idx="9">
                  <c:v>0.663</c:v>
                </c:pt>
                <c:pt idx="10">
                  <c:v>0.206</c:v>
                </c:pt>
                <c:pt idx="11">
                  <c:v>0.676</c:v>
                </c:pt>
                <c:pt idx="12">
                  <c:v>0.179</c:v>
                </c:pt>
                <c:pt idx="13">
                  <c:v>0.233</c:v>
                </c:pt>
                <c:pt idx="14">
                  <c:v>0.225</c:v>
                </c:pt>
                <c:pt idx="15">
                  <c:v>0.41</c:v>
                </c:pt>
              </c:numCache>
            </c:numRef>
          </c:val>
        </c:ser>
        <c:dLbls>
          <c:showLegendKey val="0"/>
          <c:showVal val="0"/>
          <c:showCatName val="0"/>
          <c:showSerName val="0"/>
          <c:showPercent val="0"/>
          <c:showBubbleSize val="0"/>
        </c:dLbls>
        <c:gapWidth val="219"/>
        <c:overlap val="-27"/>
        <c:axId val="1386991152"/>
        <c:axId val="1386993672"/>
        <c:extLst>
          <c:ext xmlns:c15="http://schemas.microsoft.com/office/drawing/2012/chart" uri="{02D57815-91ED-43cb-92C2-25804820EDAC}">
            <c15:filteredBarSeries>
              <c15:ser>
                <c:idx val="0"/>
                <c:order val="0"/>
                <c:tx>
                  <c:strRef>
                    <c:extLst>
                      <c:ext uri="{02D57815-91ED-43cb-92C2-25804820EDAC}">
                        <c15:formulaRef>
                          <c15:sqref>'F 4_1'!$C$1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4_1'!$C$2:$C$17</c15:sqref>
                        </c15:formulaRef>
                      </c:ext>
                    </c:extLst>
                    <c:numCache>
                      <c:formatCode>General</c:formatCode>
                      <c:ptCount val="16"/>
                      <c:pt idx="0">
                        <c:v>0.508</c:v>
                      </c:pt>
                      <c:pt idx="1">
                        <c:v>0.588</c:v>
                      </c:pt>
                      <c:pt idx="2">
                        <c:v>0.902</c:v>
                      </c:pt>
                      <c:pt idx="3">
                        <c:v>1.507</c:v>
                      </c:pt>
                      <c:pt idx="4">
                        <c:v>0.399</c:v>
                      </c:pt>
                      <c:pt idx="5">
                        <c:v>0.902</c:v>
                      </c:pt>
                      <c:pt idx="6">
                        <c:v>0.76</c:v>
                      </c:pt>
                      <c:pt idx="7">
                        <c:v>0.399</c:v>
                      </c:pt>
                      <c:pt idx="8">
                        <c:v>0.615</c:v>
                      </c:pt>
                      <c:pt idx="9">
                        <c:v>0.902</c:v>
                      </c:pt>
                      <c:pt idx="10">
                        <c:v>0.902</c:v>
                      </c:pt>
                      <c:pt idx="11">
                        <c:v>1.202</c:v>
                      </c:pt>
                      <c:pt idx="12">
                        <c:v>0.76</c:v>
                      </c:pt>
                      <c:pt idx="13">
                        <c:v>0.533</c:v>
                      </c:pt>
                      <c:pt idx="14">
                        <c:v>1.507</c:v>
                      </c:pt>
                      <c:pt idx="15">
                        <c:v>0.76</c:v>
                      </c:pt>
                    </c:numCache>
                  </c:numRef>
                </c:val>
              </c15:ser>
            </c15:filteredBarSeries>
            <c15:filteredBarSeries>
              <c15:ser>
                <c:idx val="1"/>
                <c:order val="1"/>
                <c:tx>
                  <c:strRef>
                    <c:extLst>
                      <c:ext uri="{02D57815-91ED-43cb-92C2-25804820EDAC}">
                        <c15:formulaRef>
                          <c15:sqref>'F 4_1'!$D$1</c15:sqref>
                        </c15:formulaRef>
                      </c:ext>
                    </c:extLst>
                    <c:strCache>
                      <c:ptCount val="1"/>
                      <c:pt idx="0">
                        <c:v>fo</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4_1'!$D$2:$D$17</c15:sqref>
                        </c15:formulaRef>
                      </c:ext>
                    </c:extLst>
                    <c:numCache>
                      <c:formatCode>General</c:formatCode>
                      <c:ptCount val="16"/>
                      <c:pt idx="0">
                        <c:v>0.46</c:v>
                      </c:pt>
                      <c:pt idx="1">
                        <c:v>0.415</c:v>
                      </c:pt>
                      <c:pt idx="2">
                        <c:v>0.354</c:v>
                      </c:pt>
                      <c:pt idx="3">
                        <c:v>0.404</c:v>
                      </c:pt>
                      <c:pt idx="4">
                        <c:v>1.017</c:v>
                      </c:pt>
                      <c:pt idx="5">
                        <c:v>0.354</c:v>
                      </c:pt>
                      <c:pt idx="6">
                        <c:v>0.388</c:v>
                      </c:pt>
                      <c:pt idx="7">
                        <c:v>1.017</c:v>
                      </c:pt>
                      <c:pt idx="8">
                        <c:v>0.378</c:v>
                      </c:pt>
                      <c:pt idx="9">
                        <c:v>0.367</c:v>
                      </c:pt>
                      <c:pt idx="10">
                        <c:v>0.367</c:v>
                      </c:pt>
                      <c:pt idx="11">
                        <c:v>0.38</c:v>
                      </c:pt>
                      <c:pt idx="12">
                        <c:v>0.388</c:v>
                      </c:pt>
                      <c:pt idx="13">
                        <c:v>0.412</c:v>
                      </c:pt>
                      <c:pt idx="14">
                        <c:v>0.404</c:v>
                      </c:pt>
                      <c:pt idx="15">
                        <c:v>0.388</c:v>
                      </c:pt>
                    </c:numCache>
                  </c:numRef>
                </c:val>
              </c15:ser>
            </c15:filteredBarSeries>
            <c15:filteredBarSeries>
              <c15:ser>
                <c:idx val="2"/>
                <c:order val="2"/>
                <c:tx>
                  <c:strRef>
                    <c:extLst>
                      <c:ext uri="{02D57815-91ED-43cb-92C2-25804820EDAC}">
                        <c15:formulaRef>
                          <c15:sqref>'F 4_1'!$E$1</c15:sqref>
                        </c15:formulaRef>
                      </c:ext>
                    </c:extLst>
                    <c:strCache>
                      <c:ptCount val="1"/>
                      <c:pt idx="0">
                        <c:v>fc</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4_1'!$E$2:$E$17</c15:sqref>
                        </c15:formulaRef>
                      </c:ext>
                    </c:extLst>
                    <c:numCache>
                      <c:formatCode>General</c:formatCode>
                      <c:ptCount val="16"/>
                      <c:pt idx="0">
                        <c:v>0.383</c:v>
                      </c:pt>
                      <c:pt idx="1">
                        <c:v>0.383</c:v>
                      </c:pt>
                      <c:pt idx="2">
                        <c:v>0.333</c:v>
                      </c:pt>
                      <c:pt idx="3">
                        <c:v>0.383</c:v>
                      </c:pt>
                      <c:pt idx="4">
                        <c:v>0.667</c:v>
                      </c:pt>
                      <c:pt idx="5">
                        <c:v>0.333</c:v>
                      </c:pt>
                      <c:pt idx="6">
                        <c:v>0.333</c:v>
                      </c:pt>
                      <c:pt idx="7">
                        <c:v>0.667</c:v>
                      </c:pt>
                      <c:pt idx="8">
                        <c:v>0.333</c:v>
                      </c:pt>
                      <c:pt idx="9">
                        <c:v>0.333</c:v>
                      </c:pt>
                      <c:pt idx="10">
                        <c:v>0.333</c:v>
                      </c:pt>
                      <c:pt idx="11">
                        <c:v>0.367</c:v>
                      </c:pt>
                      <c:pt idx="12">
                        <c:v>0.333</c:v>
                      </c:pt>
                      <c:pt idx="13">
                        <c:v>0.35</c:v>
                      </c:pt>
                      <c:pt idx="14">
                        <c:v>0.383</c:v>
                      </c:pt>
                      <c:pt idx="15">
                        <c:v>0.333</c:v>
                      </c:pt>
                    </c:numCache>
                  </c:numRef>
                </c:val>
              </c15:ser>
            </c15:filteredBarSeries>
            <c15:filteredBarSeries>
              <c15:ser>
                <c:idx val="3"/>
                <c:order val="3"/>
                <c:tx>
                  <c:strRef>
                    <c:extLst>
                      <c:ext uri="{02D57815-91ED-43cb-92C2-25804820EDAC}">
                        <c15:formulaRef>
                          <c15:sqref>'F 4_1'!$F$1</c15:sqref>
                        </c15:formulaRef>
                      </c:ext>
                    </c:extLst>
                    <c:strCache>
                      <c:ptCount val="1"/>
                      <c:pt idx="0">
                        <c:v>s</c:v>
                      </c:pt>
                    </c:strCache>
                  </c:strRef>
                </c:tx>
                <c:spPr>
                  <a:solidFill>
                    <a:schemeClr val="accent1">
                      <a:lumMod val="6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4_1'!$F$2:$F$17</c15:sqref>
                        </c15:formulaRef>
                      </c:ext>
                    </c:extLst>
                    <c:numCache>
                      <c:formatCode>General</c:formatCode>
                      <c:ptCount val="16"/>
                      <c:pt idx="0">
                        <c:v>0.318</c:v>
                      </c:pt>
                      <c:pt idx="1">
                        <c:v>0.065</c:v>
                      </c:pt>
                      <c:pt idx="2">
                        <c:v>0.413</c:v>
                      </c:pt>
                      <c:pt idx="3">
                        <c:v>0.196</c:v>
                      </c:pt>
                      <c:pt idx="4">
                        <c:v>0.751</c:v>
                      </c:pt>
                      <c:pt idx="5">
                        <c:v>0.472</c:v>
                      </c:pt>
                      <c:pt idx="6">
                        <c:v>0.232</c:v>
                      </c:pt>
                      <c:pt idx="7">
                        <c:v>0.786</c:v>
                      </c:pt>
                      <c:pt idx="8">
                        <c:v>0.081</c:v>
                      </c:pt>
                      <c:pt idx="9">
                        <c:v>0.636</c:v>
                      </c:pt>
                      <c:pt idx="10">
                        <c:v>0.481</c:v>
                      </c:pt>
                      <c:pt idx="11">
                        <c:v>1.885</c:v>
                      </c:pt>
                      <c:pt idx="12">
                        <c:v>0.194</c:v>
                      </c:pt>
                      <c:pt idx="13">
                        <c:v>0.391</c:v>
                      </c:pt>
                      <c:pt idx="14">
                        <c:v>0.556</c:v>
                      </c:pt>
                      <c:pt idx="15">
                        <c:v>0.391</c:v>
                      </c:pt>
                    </c:numCache>
                  </c:numRef>
                </c:val>
              </c15:ser>
            </c15:filteredBarSeries>
            <c15:filteredBarSeries>
              <c15:ser>
                <c:idx val="4"/>
                <c:order val="4"/>
                <c:tx>
                  <c:strRef>
                    <c:extLst>
                      <c:ext uri="{02D57815-91ED-43cb-92C2-25804820EDAC}">
                        <c15:formulaRef>
                          <c15:sqref>'F 4_1'!$G$1</c15:sqref>
                        </c15:formulaRef>
                      </c:ext>
                    </c:extLst>
                    <c:strCache>
                      <c:ptCount val="1"/>
                      <c:pt idx="0">
                        <c:v>k</c:v>
                      </c:pt>
                    </c:strCache>
                  </c:strRef>
                </c:tx>
                <c:spPr>
                  <a:solidFill>
                    <a:schemeClr val="accent3">
                      <a:lumMod val="6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4_1'!$G$2:$G$17</c15:sqref>
                        </c15:formulaRef>
                      </c:ext>
                    </c:extLst>
                    <c:numCache>
                      <c:formatCode>General</c:formatCode>
                      <c:ptCount val="16"/>
                      <c:pt idx="0">
                        <c:v>0.119</c:v>
                      </c:pt>
                      <c:pt idx="1">
                        <c:v>0.243</c:v>
                      </c:pt>
                      <c:pt idx="2">
                        <c:v>0.335</c:v>
                      </c:pt>
                      <c:pt idx="3">
                        <c:v>0.195</c:v>
                      </c:pt>
                      <c:pt idx="4">
                        <c:v>0.129</c:v>
                      </c:pt>
                      <c:pt idx="5">
                        <c:v>0.463</c:v>
                      </c:pt>
                      <c:pt idx="6">
                        <c:v>0.236</c:v>
                      </c:pt>
                      <c:pt idx="7">
                        <c:v>0.163</c:v>
                      </c:pt>
                      <c:pt idx="8">
                        <c:v>0.389</c:v>
                      </c:pt>
                      <c:pt idx="9">
                        <c:v>0.437</c:v>
                      </c:pt>
                      <c:pt idx="10">
                        <c:v>0.107</c:v>
                      </c:pt>
                      <c:pt idx="11">
                        <c:v>0.072</c:v>
                      </c:pt>
                      <c:pt idx="12">
                        <c:v>0.405</c:v>
                      </c:pt>
                      <c:pt idx="13">
                        <c:v>0.389</c:v>
                      </c:pt>
                      <c:pt idx="14">
                        <c:v>0.234</c:v>
                      </c:pt>
                      <c:pt idx="15">
                        <c:v>0.289</c:v>
                      </c:pt>
                    </c:numCache>
                  </c:numRef>
                </c:val>
              </c15:ser>
            </c15:filteredBarSeries>
            <c15:filteredBarSeries>
              <c15:ser>
                <c:idx val="5"/>
                <c:order val="5"/>
                <c:tx>
                  <c:strRef>
                    <c:extLst>
                      <c:ext uri="{02D57815-91ED-43cb-92C2-25804820EDAC}">
                        <c15:formulaRef>
                          <c15:sqref>'F 4_1'!$H$1</c15:sqref>
                        </c15:formulaRef>
                      </c:ext>
                    </c:extLst>
                    <c:strCache>
                      <c:ptCount val="1"/>
                      <c:pt idx="0">
                        <c:v>a</c:v>
                      </c:pt>
                    </c:strCache>
                  </c:strRef>
                </c:tx>
                <c:spPr>
                  <a:solidFill>
                    <a:schemeClr val="accent5">
                      <a:lumMod val="6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4_1'!$H$2:$H$17</c15:sqref>
                        </c15:formulaRef>
                      </c:ext>
                    </c:extLst>
                    <c:numCache>
                      <c:formatCode>General</c:formatCode>
                      <c:ptCount val="16"/>
                      <c:pt idx="0">
                        <c:v>0.938</c:v>
                      </c:pt>
                      <c:pt idx="1">
                        <c:v>0.657</c:v>
                      </c:pt>
                      <c:pt idx="2">
                        <c:v>0.757</c:v>
                      </c:pt>
                      <c:pt idx="3">
                        <c:v>0.787</c:v>
                      </c:pt>
                      <c:pt idx="4">
                        <c:v>0.673</c:v>
                      </c:pt>
                      <c:pt idx="5">
                        <c:v>0.724</c:v>
                      </c:pt>
                      <c:pt idx="6">
                        <c:v>0.836</c:v>
                      </c:pt>
                      <c:pt idx="7">
                        <c:v>0.999</c:v>
                      </c:pt>
                      <c:pt idx="8">
                        <c:v>0.941</c:v>
                      </c:pt>
                      <c:pt idx="9">
                        <c:v>0.886</c:v>
                      </c:pt>
                      <c:pt idx="10">
                        <c:v>0.851</c:v>
                      </c:pt>
                      <c:pt idx="11">
                        <c:v>0.879</c:v>
                      </c:pt>
                      <c:pt idx="12">
                        <c:v>0.999</c:v>
                      </c:pt>
                      <c:pt idx="13">
                        <c:v>0.796</c:v>
                      </c:pt>
                      <c:pt idx="14">
                        <c:v>0.959</c:v>
                      </c:pt>
                      <c:pt idx="15">
                        <c:v>0.864</c:v>
                      </c:pt>
                    </c:numCache>
                  </c:numRef>
                </c:val>
              </c15:ser>
            </c15:filteredBarSeries>
            <c15:filteredBarSeries>
              <c15:ser>
                <c:idx val="6"/>
                <c:order val="6"/>
                <c:tx>
                  <c:strRef>
                    <c:extLst>
                      <c:ext uri="{02D57815-91ED-43cb-92C2-25804820EDAC}">
                        <c15:formulaRef>
                          <c15:sqref>'F 4_1'!$I$1</c15:sqref>
                        </c15:formulaRef>
                      </c:ext>
                    </c:extLst>
                    <c:strCache>
                      <c:ptCount val="1"/>
                      <c:pt idx="0">
                        <c:v>b</c:v>
                      </c:pt>
                    </c:strCache>
                  </c:strRef>
                </c:tx>
                <c:spPr>
                  <a:solidFill>
                    <a:schemeClr val="accent1">
                      <a:lumMod val="80000"/>
                      <a:lumOff val="2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4_1'!$I$2:$I$17</c15:sqref>
                        </c15:formulaRef>
                      </c:ext>
                    </c:extLst>
                    <c:numCache>
                      <c:formatCode>General</c:formatCode>
                      <c:ptCount val="16"/>
                      <c:pt idx="0">
                        <c:v>0.307</c:v>
                      </c:pt>
                      <c:pt idx="1">
                        <c:v>0.31</c:v>
                      </c:pt>
                      <c:pt idx="2">
                        <c:v>0.508</c:v>
                      </c:pt>
                      <c:pt idx="3">
                        <c:v>0.258</c:v>
                      </c:pt>
                      <c:pt idx="4">
                        <c:v>0.481</c:v>
                      </c:pt>
                      <c:pt idx="5">
                        <c:v>0.717</c:v>
                      </c:pt>
                      <c:pt idx="6">
                        <c:v>0.369</c:v>
                      </c:pt>
                      <c:pt idx="7">
                        <c:v>0.201</c:v>
                      </c:pt>
                      <c:pt idx="8">
                        <c:v>0.495</c:v>
                      </c:pt>
                      <c:pt idx="9">
                        <c:v>1.205</c:v>
                      </c:pt>
                      <c:pt idx="10">
                        <c:v>0.389</c:v>
                      </c:pt>
                      <c:pt idx="11">
                        <c:v>1.194</c:v>
                      </c:pt>
                      <c:pt idx="12">
                        <c:v>0.4</c:v>
                      </c:pt>
                      <c:pt idx="13">
                        <c:v>0.541</c:v>
                      </c:pt>
                      <c:pt idx="14">
                        <c:v>0.502</c:v>
                      </c:pt>
                      <c:pt idx="15">
                        <c:v>1.145</c:v>
                      </c:pt>
                    </c:numCache>
                  </c:numRef>
                </c:val>
              </c15:ser>
            </c15:filteredBarSeries>
            <c15:filteredBarSeries>
              <c15:ser>
                <c:idx val="7"/>
                <c:order val="7"/>
                <c:tx>
                  <c:strRef>
                    <c:extLst>
                      <c:ext uri="{02D57815-91ED-43cb-92C2-25804820EDAC}">
                        <c15:formulaRef>
                          <c15:sqref>'F 4_1'!$J$1</c15:sqref>
                        </c15:formulaRef>
                      </c:ext>
                    </c:extLst>
                    <c:strCache>
                      <c:ptCount val="1"/>
                      <c:pt idx="0">
                        <c:v>n</c:v>
                      </c:pt>
                    </c:strCache>
                  </c:strRef>
                </c:tx>
                <c:spPr>
                  <a:solidFill>
                    <a:schemeClr val="accent3">
                      <a:lumMod val="80000"/>
                      <a:lumOff val="20000"/>
                    </a:schemeClr>
                  </a:solidFill>
                  <a:ln>
                    <a:noFill/>
                  </a:ln>
                  <a:effectLst/>
                </c:spPr>
                <c:invertIfNegative val="0"/>
                <c:dLbls>
                  <c:delete val="1"/>
                </c:dLbls>
                <c:cat>
                  <c:multiLvlStrRef>
                    <c:extLst>
                      <c:ext uri="{02D57815-91ED-43cb-92C2-25804820EDAC}">
                        <c15:fullRef>
                          <c15:sqref/>
                        </c15:fullRef>
                        <c15:formulaRef>
                          <c15:sqref>'F 4_1'!$A$2:$B$17</c15:sqref>
                        </c15:formulaRef>
                      </c:ext>
                    </c:extLst>
                    <c:multiLvlStrCache>
                      <c:ptCount val="16"/>
                      <c:lvl>
                        <c:pt idx="0">
                          <c:v>Head upper </c:v>
                        </c:pt>
                        <c:pt idx="1">
                          <c:v>Head lower </c:v>
                        </c:pt>
                        <c:pt idx="2">
                          <c:v>Tail upper </c:v>
                        </c:pt>
                        <c:pt idx="3">
                          <c:v>Tail intermediate</c:v>
                        </c:pt>
                        <c:pt idx="4">
                          <c:v>Tail lower </c:v>
                        </c:pt>
                        <c:pt idx="5">
                          <c:v>Middle upper </c:v>
                        </c:pt>
                        <c:pt idx="6">
                          <c:v>Middle  intermediate</c:v>
                        </c:pt>
                        <c:pt idx="7">
                          <c:v>Middle lower </c:v>
                        </c:pt>
                        <c:pt idx="8">
                          <c:v>Tail upper </c:v>
                        </c:pt>
                        <c:pt idx="9">
                          <c:v> Tail intermediate</c:v>
                        </c:pt>
                        <c:pt idx="10">
                          <c:v>Tail lower </c:v>
                        </c:pt>
                        <c:pt idx="11">
                          <c:v>Middle intermediate</c:v>
                        </c:pt>
                        <c:pt idx="12">
                          <c:v>Middle lower</c:v>
                        </c:pt>
                        <c:pt idx="13">
                          <c:v>Tail upper </c:v>
                        </c:pt>
                        <c:pt idx="14">
                          <c:v>Tail intermediate</c:v>
                        </c:pt>
                        <c:pt idx="15">
                          <c:v>Tail lower </c:v>
                        </c:pt>
                      </c:lvl>
                      <c:lvl>
                        <c:pt idx="0">
                          <c:v>FC 1/D47</c:v>
                        </c:pt>
                        <c:pt idx="5">
                          <c:v>FC1/D47 LB</c:v>
                        </c:pt>
                        <c:pt idx="11">
                          <c:v>Mailapitiya </c:v>
                        </c:pt>
                      </c:lvl>
                    </c:multiLvlStrCache>
                  </c:multiLvlStrRef>
                </c:cat>
                <c:val>
                  <c:numRef>
                    <c:extLst>
                      <c:ext uri="{02D57815-91ED-43cb-92C2-25804820EDAC}">
                        <c15:formulaRef>
                          <c15:sqref>'F 4_1'!$J$2:$J$17</c15:sqref>
                        </c15:formulaRef>
                      </c:ext>
                    </c:extLst>
                    <c:numCache>
                      <c:formatCode>General</c:formatCode>
                      <c:ptCount val="16"/>
                      <c:pt idx="0">
                        <c:v>0.015</c:v>
                      </c:pt>
                      <c:pt idx="1">
                        <c:v>0.015</c:v>
                      </c:pt>
                      <c:pt idx="2">
                        <c:v>0.047</c:v>
                      </c:pt>
                      <c:pt idx="3">
                        <c:v>0.174</c:v>
                      </c:pt>
                      <c:pt idx="4">
                        <c:v>0.319</c:v>
                      </c:pt>
                      <c:pt idx="5">
                        <c:v>0.029</c:v>
                      </c:pt>
                      <c:pt idx="6">
                        <c:v>0.038</c:v>
                      </c:pt>
                      <c:pt idx="7">
                        <c:v>0.111</c:v>
                      </c:pt>
                      <c:pt idx="8">
                        <c:v>0.12</c:v>
                      </c:pt>
                      <c:pt idx="9">
                        <c:v>0.392</c:v>
                      </c:pt>
                      <c:pt idx="10">
                        <c:v>0.045</c:v>
                      </c:pt>
                      <c:pt idx="11">
                        <c:v>0.373</c:v>
                      </c:pt>
                      <c:pt idx="12">
                        <c:v>0.046</c:v>
                      </c:pt>
                      <c:pt idx="13">
                        <c:v>0.037</c:v>
                      </c:pt>
                      <c:pt idx="14">
                        <c:v>0.141</c:v>
                      </c:pt>
                      <c:pt idx="15">
                        <c:v>0.169</c:v>
                      </c:pt>
                    </c:numCache>
                  </c:numRef>
                </c:val>
              </c15:ser>
            </c15:filteredBarSeries>
          </c:ext>
        </c:extLst>
      </c:barChart>
      <c:catAx>
        <c:axId val="138699115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rPr>
                  <a:t>Farm lot location</a:t>
                </a:r>
                <a:endParaRPr lang="en-US" sz="6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6993672"/>
        <c:crosses val="autoZero"/>
        <c:auto val="1"/>
        <c:lblAlgn val="ctr"/>
        <c:lblOffset val="100"/>
        <c:tickLblSkip val="1"/>
        <c:noMultiLvlLbl val="0"/>
      </c:catAx>
      <c:valAx>
        <c:axId val="1386993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600" b="0" i="0" u="none" strike="noStrike" baseline="0">
                    <a:effectLst/>
                    <a:latin typeface="Times New Roman" panose="02020603050405020304" charset="0"/>
                    <a:ea typeface="Times New Roman" panose="02020603050405020304" charset="0"/>
                    <a:cs typeface="Times New Roman" panose="02020603050405020304" charset="0"/>
                    <a:sym typeface="Times New Roman" panose="02020603050405020304" charset="0"/>
                  </a:rPr>
                  <a:t>𝑚 (cm/hr) </a:t>
                </a:r>
                <a:endParaRPr lang="en-US" sz="600" b="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386991152"/>
        <c:crosses val="autoZero"/>
        <c:crossBetween val="between"/>
        <c:majorUnit val="0.2"/>
        <c:minorUnit val="0.1"/>
      </c:valAx>
      <c:spPr>
        <a:noFill/>
        <a:ln>
          <a:noFill/>
        </a:ln>
        <a:effectLst/>
      </c:spPr>
    </c:plotArea>
    <c:plotVisOnly val="1"/>
    <c:dispBlanksAs val="gap"/>
    <c:showDLblsOverMax val="0"/>
    <c:extLst>
      <c:ext uri="{0b15fc19-7d7d-44ad-8c2d-2c3a37ce22c3}">
        <chartProps xmlns="https://web.wps.cn/et/2018/main" chartId="{3b72f0fa-5369-47d3-a3ce-bca99954f157}"/>
      </c:ext>
    </c:extLst>
  </c:chart>
  <c:spPr>
    <a:solidFill>
      <a:schemeClr val="bg1"/>
    </a:solidFill>
    <a:ln w="9525" cap="flat" cmpd="sng" algn="ctr">
      <a:solidFill>
        <a:schemeClr val="tx1">
          <a:lumMod val="15000"/>
          <a:lumOff val="85000"/>
        </a:schemeClr>
      </a:solidFill>
      <a:round/>
    </a:ln>
    <a:effectLst/>
  </c:spPr>
  <c:txPr>
    <a:bodyPr/>
    <a:lstStyle/>
    <a:p>
      <a:pPr>
        <a:defRPr lang="zh-CN" sz="600"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 4_2'!$C$1</c:f>
              <c:strCache>
                <c:ptCount val="1"/>
                <c:pt idx="0">
                  <c:v>kh</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4_2'!$C$2:$C$23</c:f>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ser>
        <c:dLbls>
          <c:showLegendKey val="0"/>
          <c:showVal val="0"/>
          <c:showCatName val="0"/>
          <c:showSerName val="0"/>
          <c:showPercent val="0"/>
          <c:showBubbleSize val="0"/>
        </c:dLbls>
        <c:gapWidth val="219"/>
        <c:overlap val="-27"/>
        <c:axId val="1393525160"/>
        <c:axId val="1393527680"/>
      </c:barChart>
      <c:catAx>
        <c:axId val="1393525160"/>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3527680"/>
        <c:crosses val="autoZero"/>
        <c:auto val="1"/>
        <c:lblAlgn val="ctr"/>
        <c:lblOffset val="100"/>
        <c:tickLblSkip val="1"/>
        <c:noMultiLvlLbl val="0"/>
      </c:catAx>
      <c:valAx>
        <c:axId val="1393527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kh (min-1 ) </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3525160"/>
        <c:crosses val="autoZero"/>
        <c:crossBetween val="between"/>
        <c:majorUnit val="1"/>
      </c:valAx>
      <c:spPr>
        <a:noFill/>
        <a:ln>
          <a:noFill/>
        </a:ln>
        <a:effectLst/>
      </c:spPr>
    </c:plotArea>
    <c:plotVisOnly val="1"/>
    <c:dispBlanksAs val="gap"/>
    <c:showDLblsOverMax val="0"/>
    <c:extLst>
      <c:ext uri="{0b15fc19-7d7d-44ad-8c2d-2c3a37ce22c3}">
        <chartProps xmlns="https://web.wps.cn/et/2018/main" chartId="{afc981ad-17c1-42cd-b9e7-528d20fe7bc8}"/>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 4_2'!$D$1</c:f>
              <c:strCache>
                <c:ptCount val="1"/>
                <c:pt idx="0">
                  <c:v>fo</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4_2'!$D$2:$D$23</c:f>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ser>
        <c:dLbls>
          <c:showLegendKey val="0"/>
          <c:showVal val="0"/>
          <c:showCatName val="0"/>
          <c:showSerName val="0"/>
          <c:showPercent val="0"/>
          <c:showBubbleSize val="0"/>
        </c:dLbls>
        <c:gapWidth val="219"/>
        <c:overlap val="-27"/>
        <c:axId val="1381720168"/>
        <c:axId val="1381720528"/>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ext>
        </c:extLst>
      </c:barChart>
      <c:catAx>
        <c:axId val="138172016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1720528"/>
        <c:crosses val="autoZero"/>
        <c:auto val="1"/>
        <c:lblAlgn val="ctr"/>
        <c:lblOffset val="100"/>
        <c:tickLblSkip val="1"/>
        <c:noMultiLvlLbl val="0"/>
      </c:catAx>
      <c:valAx>
        <c:axId val="1381720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r>
                  <a:rPr lang="en-US" sz="600" b="0" i="0" u="none" strike="noStrike" kern="1200" baseline="0">
                    <a:solidFill>
                      <a:sysClr val="windowText" lastClr="000000">
                        <a:lumMod val="65000"/>
                        <a:lumOff val="35000"/>
                      </a:sysClr>
                    </a:solidFill>
                  </a:rPr>
                  <a:t>fo </a:t>
                </a:r>
                <a:r>
                  <a:rPr lang="en-US" sz="600" b="0" i="0" u="none" strike="noStrike" kern="1200" baseline="0">
                    <a:solidFill>
                      <a:sysClr val="windowText" lastClr="000000">
                        <a:lumMod val="65000"/>
                        <a:lumOff val="35000"/>
                      </a:sysClr>
                    </a:solidFill>
                    <a:effectLst/>
                  </a:rPr>
                  <a:t>(cm/hr)</a:t>
                </a:r>
                <a:endParaRPr lang="en-US" sz="600" b="0" i="0" u="none" strike="noStrike" kern="120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1720168"/>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de7fdea1-6a05-472d-a8c9-5ab404ce3ac2}"/>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'F 4_2'!$E$1</c:f>
              <c:strCache>
                <c:ptCount val="1"/>
                <c:pt idx="0">
                  <c:v>fc</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4_2'!$E$2:$E$23</c:f>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ser>
        <c:dLbls>
          <c:showLegendKey val="0"/>
          <c:showVal val="0"/>
          <c:showCatName val="0"/>
          <c:showSerName val="0"/>
          <c:showPercent val="0"/>
          <c:showBubbleSize val="0"/>
        </c:dLbls>
        <c:gapWidth val="219"/>
        <c:overlap val="-27"/>
        <c:axId val="1385584184"/>
        <c:axId val="1385585624"/>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ext>
        </c:extLst>
      </c:barChart>
      <c:catAx>
        <c:axId val="138558418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5585624"/>
        <c:crosses val="autoZero"/>
        <c:auto val="1"/>
        <c:lblAlgn val="ctr"/>
        <c:lblOffset val="100"/>
        <c:tickLblSkip val="1"/>
        <c:noMultiLvlLbl val="0"/>
      </c:catAx>
      <c:valAx>
        <c:axId val="1385585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r>
                  <a:rPr lang="en-US" sz="600" b="0" i="0" u="none" strike="noStrike" kern="1200" baseline="0">
                    <a:solidFill>
                      <a:sysClr val="windowText" lastClr="000000">
                        <a:lumMod val="65000"/>
                        <a:lumOff val="35000"/>
                      </a:sysClr>
                    </a:solidFill>
                  </a:rPr>
                  <a:t>fc (cm/hr)</a:t>
                </a:r>
                <a:endParaRPr lang="en-US" sz="600" b="0" i="0" u="none" strike="noStrike" kern="120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5584184"/>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166d3c3e-5818-44b5-aa2a-f2346a9232a0}"/>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tx>
            <c:strRef>
              <c:f>'F 4_2'!$F$1</c:f>
              <c:strCache>
                <c:ptCount val="1"/>
                <c:pt idx="0">
                  <c:v>s</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4_2'!$F$2:$F$23</c:f>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ser>
        <c:dLbls>
          <c:showLegendKey val="0"/>
          <c:showVal val="0"/>
          <c:showCatName val="0"/>
          <c:showSerName val="0"/>
          <c:showPercent val="0"/>
          <c:showBubbleSize val="0"/>
        </c:dLbls>
        <c:gapWidth val="219"/>
        <c:overlap val="-27"/>
        <c:axId val="1384966584"/>
        <c:axId val="1384968384"/>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ext>
        </c:extLst>
      </c:barChart>
      <c:catAx>
        <c:axId val="138496658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4968384"/>
        <c:crosses val="autoZero"/>
        <c:auto val="1"/>
        <c:lblAlgn val="ctr"/>
        <c:lblOffset val="100"/>
        <c:tickLblSkip val="1"/>
        <c:noMultiLvlLbl val="0"/>
      </c:catAx>
      <c:valAx>
        <c:axId val="1384968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 (</a:t>
                </a:r>
                <a:r>
                  <a:rPr lang="en-US" sz="600" b="0" i="0" u="none" strike="noStrike" kern="1200" baseline="0">
                    <a:solidFill>
                      <a:sysClr val="windowText" lastClr="000000">
                        <a:lumMod val="65000"/>
                        <a:lumOff val="35000"/>
                      </a:sysClr>
                    </a:solidFill>
                    <a:effectLst/>
                  </a:rPr>
                  <a:t>cm/hr</a:t>
                </a:r>
                <a:r>
                  <a:rPr lang="en-US" sz="600" b="0" i="0" u="none" strike="noStrike" kern="1200" baseline="30000">
                    <a:solidFill>
                      <a:sysClr val="windowText" lastClr="000000">
                        <a:lumMod val="65000"/>
                        <a:lumOff val="35000"/>
                      </a:sysClr>
                    </a:solidFill>
                    <a:effectLst/>
                  </a:rPr>
                  <a:t>0.5</a:t>
                </a:r>
                <a:r>
                  <a:rPr lang="en-US" sz="600" b="0" i="0" u="none" strike="noStrike" kern="1200" baseline="0">
                    <a:solidFill>
                      <a:sysClr val="windowText" lastClr="000000">
                        <a:lumMod val="65000"/>
                        <a:lumOff val="35000"/>
                      </a:sysClr>
                    </a:solidFill>
                  </a:rPr>
                  <a:t>)</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4966584"/>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a1dccf40-05fa-4a4b-86aa-bf9331f4ae80}"/>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4"/>
          <c:tx>
            <c:strRef>
              <c:f>'F 4_2'!$G$1</c:f>
              <c:strCache>
                <c:ptCount val="1"/>
                <c:pt idx="0">
                  <c:v>k</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4_2'!$G$2:$G$23</c:f>
              <c:numCache>
                <c:formatCode>General</c:formatCode>
                <c:ptCount val="22"/>
                <c:pt idx="0">
                  <c:v>0.129</c:v>
                </c:pt>
                <c:pt idx="1">
                  <c:v>0.182</c:v>
                </c:pt>
                <c:pt idx="2">
                  <c:v>0.08</c:v>
                </c:pt>
                <c:pt idx="3">
                  <c:v>0.157</c:v>
                </c:pt>
                <c:pt idx="4">
                  <c:v>0.065</c:v>
                </c:pt>
                <c:pt idx="5">
                  <c:v>0.079</c:v>
                </c:pt>
                <c:pt idx="6">
                  <c:v>0.187</c:v>
                </c:pt>
                <c:pt idx="7">
                  <c:v>0.028</c:v>
                </c:pt>
                <c:pt idx="8">
                  <c:v>0.09</c:v>
                </c:pt>
                <c:pt idx="9">
                  <c:v>0.154</c:v>
                </c:pt>
                <c:pt idx="10">
                  <c:v>0.079</c:v>
                </c:pt>
                <c:pt idx="11">
                  <c:v>0.019</c:v>
                </c:pt>
                <c:pt idx="12">
                  <c:v>0.066</c:v>
                </c:pt>
                <c:pt idx="13">
                  <c:v>0.075</c:v>
                </c:pt>
                <c:pt idx="14">
                  <c:v>0.129</c:v>
                </c:pt>
                <c:pt idx="15">
                  <c:v>0.025</c:v>
                </c:pt>
                <c:pt idx="16">
                  <c:v>0.062</c:v>
                </c:pt>
                <c:pt idx="17">
                  <c:v>0.189</c:v>
                </c:pt>
                <c:pt idx="18">
                  <c:v>0.13</c:v>
                </c:pt>
                <c:pt idx="19">
                  <c:v>0.474</c:v>
                </c:pt>
                <c:pt idx="20">
                  <c:v>0.158</c:v>
                </c:pt>
                <c:pt idx="21">
                  <c:v>0.08</c:v>
                </c:pt>
              </c:numCache>
            </c:numRef>
          </c:val>
        </c:ser>
        <c:dLbls>
          <c:showLegendKey val="0"/>
          <c:showVal val="0"/>
          <c:showCatName val="0"/>
          <c:showSerName val="0"/>
          <c:showPercent val="0"/>
          <c:showBubbleSize val="0"/>
        </c:dLbls>
        <c:gapWidth val="219"/>
        <c:overlap val="-27"/>
        <c:axId val="1393530920"/>
        <c:axId val="1393532000"/>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15:filteredBarSeries>
              <c15:ser>
                <c:idx val="3"/>
                <c:order val="3"/>
                <c:tx>
                  <c:strRef>
                    <c:extLst>
                      <c:ext uri="{02D57815-91ED-43cb-92C2-25804820EDAC}">
                        <c15:formulaRef>
                          <c15:sqref>'F 4_2'!$F$1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4_2'!$F$2:$F$23</c15:sqref>
                        </c15:formulaRef>
                      </c:ext>
                    </c:extLst>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15:ser>
            </c15:filteredBarSeries>
          </c:ext>
        </c:extLst>
      </c:barChart>
      <c:catAx>
        <c:axId val="1393530920"/>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3532000"/>
        <c:crosses val="autoZero"/>
        <c:auto val="1"/>
        <c:lblAlgn val="ctr"/>
        <c:lblOffset val="100"/>
        <c:tickLblSkip val="1"/>
        <c:noMultiLvlLbl val="0"/>
      </c:catAx>
      <c:valAx>
        <c:axId val="139353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K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3530920"/>
        <c:crosses val="autoZero"/>
        <c:crossBetween val="between"/>
        <c:majorUnit val="0.1"/>
      </c:valAx>
      <c:spPr>
        <a:noFill/>
        <a:ln>
          <a:noFill/>
        </a:ln>
        <a:effectLst/>
      </c:spPr>
    </c:plotArea>
    <c:plotVisOnly val="1"/>
    <c:dispBlanksAs val="gap"/>
    <c:showDLblsOverMax val="0"/>
    <c:extLst>
      <c:ext uri="{0b15fc19-7d7d-44ad-8c2d-2c3a37ce22c3}">
        <chartProps xmlns="https://web.wps.cn/et/2018/main" chartId="{7c38f86f-5c72-46a9-8589-e1e6d712123b}"/>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5"/>
          <c:order val="5"/>
          <c:tx>
            <c:strRef>
              <c:f>'F 4_2'!$H$1</c:f>
              <c:strCache>
                <c:ptCount val="1"/>
                <c:pt idx="0">
                  <c:v>a</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4_2'!$H$2:$H$23</c:f>
              <c:numCache>
                <c:formatCode>General</c:formatCode>
                <c:ptCount val="22"/>
                <c:pt idx="0">
                  <c:v>0.876</c:v>
                </c:pt>
                <c:pt idx="1">
                  <c:v>0.715</c:v>
                </c:pt>
                <c:pt idx="2">
                  <c:v>0.966</c:v>
                </c:pt>
                <c:pt idx="3">
                  <c:v>0.792</c:v>
                </c:pt>
                <c:pt idx="4">
                  <c:v>0.961</c:v>
                </c:pt>
                <c:pt idx="5">
                  <c:v>0.876</c:v>
                </c:pt>
                <c:pt idx="6">
                  <c:v>0.715</c:v>
                </c:pt>
                <c:pt idx="7">
                  <c:v>0.925</c:v>
                </c:pt>
                <c:pt idx="8">
                  <c:v>0.862</c:v>
                </c:pt>
                <c:pt idx="9">
                  <c:v>0.999</c:v>
                </c:pt>
                <c:pt idx="10">
                  <c:v>0.938</c:v>
                </c:pt>
                <c:pt idx="11">
                  <c:v>0.772</c:v>
                </c:pt>
                <c:pt idx="12">
                  <c:v>0.916</c:v>
                </c:pt>
                <c:pt idx="13">
                  <c:v>0.999</c:v>
                </c:pt>
                <c:pt idx="14">
                  <c:v>0.871</c:v>
                </c:pt>
                <c:pt idx="15">
                  <c:v>0.906</c:v>
                </c:pt>
                <c:pt idx="16">
                  <c:v>0.999</c:v>
                </c:pt>
                <c:pt idx="17">
                  <c:v>0.871</c:v>
                </c:pt>
                <c:pt idx="18">
                  <c:v>0.906</c:v>
                </c:pt>
                <c:pt idx="19">
                  <c:v>0.914</c:v>
                </c:pt>
                <c:pt idx="20">
                  <c:v>0.842</c:v>
                </c:pt>
                <c:pt idx="21">
                  <c:v>0.966</c:v>
                </c:pt>
              </c:numCache>
            </c:numRef>
          </c:val>
        </c:ser>
        <c:dLbls>
          <c:showLegendKey val="0"/>
          <c:showVal val="0"/>
          <c:showCatName val="0"/>
          <c:showSerName val="0"/>
          <c:showPercent val="0"/>
          <c:showBubbleSize val="0"/>
        </c:dLbls>
        <c:gapWidth val="219"/>
        <c:overlap val="-27"/>
        <c:axId val="1441731808"/>
        <c:axId val="1441732168"/>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15:filteredBarSeries>
              <c15:ser>
                <c:idx val="3"/>
                <c:order val="3"/>
                <c:tx>
                  <c:strRef>
                    <c:extLst>
                      <c:ext uri="{02D57815-91ED-43cb-92C2-25804820EDAC}">
                        <c15:formulaRef>
                          <c15:sqref>'F 4_2'!$F$1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4_2'!$F$2:$F$23</c15:sqref>
                        </c15:formulaRef>
                      </c:ext>
                    </c:extLst>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15:ser>
            </c15:filteredBarSeries>
            <c15:filteredBarSeries>
              <c15:ser>
                <c:idx val="4"/>
                <c:order val="4"/>
                <c:tx>
                  <c:strRef>
                    <c:extLst>
                      <c:ext uri="{02D57815-91ED-43cb-92C2-25804820EDAC}">
                        <c15:formulaRef>
                          <c15:sqref>'F 4_2'!$G$1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4_2'!$G$2:$G$23</c15:sqref>
                        </c15:formulaRef>
                      </c:ext>
                    </c:extLst>
                    <c:numCache>
                      <c:formatCode>General</c:formatCode>
                      <c:ptCount val="22"/>
                      <c:pt idx="0">
                        <c:v>0.129</c:v>
                      </c:pt>
                      <c:pt idx="1">
                        <c:v>0.182</c:v>
                      </c:pt>
                      <c:pt idx="2">
                        <c:v>0.08</c:v>
                      </c:pt>
                      <c:pt idx="3">
                        <c:v>0.157</c:v>
                      </c:pt>
                      <c:pt idx="4">
                        <c:v>0.065</c:v>
                      </c:pt>
                      <c:pt idx="5">
                        <c:v>0.079</c:v>
                      </c:pt>
                      <c:pt idx="6">
                        <c:v>0.187</c:v>
                      </c:pt>
                      <c:pt idx="7">
                        <c:v>0.028</c:v>
                      </c:pt>
                      <c:pt idx="8">
                        <c:v>0.09</c:v>
                      </c:pt>
                      <c:pt idx="9">
                        <c:v>0.154</c:v>
                      </c:pt>
                      <c:pt idx="10">
                        <c:v>0.079</c:v>
                      </c:pt>
                      <c:pt idx="11">
                        <c:v>0.019</c:v>
                      </c:pt>
                      <c:pt idx="12">
                        <c:v>0.066</c:v>
                      </c:pt>
                      <c:pt idx="13">
                        <c:v>0.075</c:v>
                      </c:pt>
                      <c:pt idx="14">
                        <c:v>0.129</c:v>
                      </c:pt>
                      <c:pt idx="15">
                        <c:v>0.025</c:v>
                      </c:pt>
                      <c:pt idx="16">
                        <c:v>0.062</c:v>
                      </c:pt>
                      <c:pt idx="17">
                        <c:v>0.189</c:v>
                      </c:pt>
                      <c:pt idx="18">
                        <c:v>0.13</c:v>
                      </c:pt>
                      <c:pt idx="19">
                        <c:v>0.474</c:v>
                      </c:pt>
                      <c:pt idx="20">
                        <c:v>0.158</c:v>
                      </c:pt>
                      <c:pt idx="21">
                        <c:v>0.08</c:v>
                      </c:pt>
                    </c:numCache>
                  </c:numRef>
                </c:val>
              </c15:ser>
            </c15:filteredBarSeries>
          </c:ext>
        </c:extLst>
      </c:barChart>
      <c:catAx>
        <c:axId val="144173180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441732168"/>
        <c:crosses val="autoZero"/>
        <c:auto val="1"/>
        <c:lblAlgn val="ctr"/>
        <c:lblOffset val="100"/>
        <c:tickLblSkip val="1"/>
        <c:noMultiLvlLbl val="0"/>
      </c:catAx>
      <c:valAx>
        <c:axId val="1441732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spc="0" baseline="0">
                    <a:solidFill>
                      <a:sysClr val="windowText" lastClr="000000">
                        <a:lumMod val="65000"/>
                        <a:lumOff val="35000"/>
                      </a:sysClr>
                    </a:solidFill>
                  </a:rPr>
                  <a:t>a</a:t>
                </a: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441731808"/>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389446d2-5760-4278-b15c-ae3fb3fbad34}"/>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6"/>
          <c:order val="6"/>
          <c:tx>
            <c:strRef>
              <c:f>'F 4_2'!$I$1</c:f>
              <c:strCache>
                <c:ptCount val="1"/>
                <c:pt idx="0">
                  <c:v>b</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4_2'!$I$2:$I$23</c:f>
              <c:numCache>
                <c:formatCode>General</c:formatCode>
                <c:ptCount val="22"/>
                <c:pt idx="0">
                  <c:v>0.262</c:v>
                </c:pt>
                <c:pt idx="1">
                  <c:v>0.268</c:v>
                </c:pt>
                <c:pt idx="2">
                  <c:v>0.298</c:v>
                </c:pt>
                <c:pt idx="3">
                  <c:v>0.264</c:v>
                </c:pt>
                <c:pt idx="4">
                  <c:v>0.22</c:v>
                </c:pt>
                <c:pt idx="5">
                  <c:v>0.131</c:v>
                </c:pt>
                <c:pt idx="6">
                  <c:v>0.261</c:v>
                </c:pt>
                <c:pt idx="7">
                  <c:v>0.15</c:v>
                </c:pt>
                <c:pt idx="8">
                  <c:v>0.136</c:v>
                </c:pt>
                <c:pt idx="9">
                  <c:v>0.267</c:v>
                </c:pt>
                <c:pt idx="10">
                  <c:v>0.21</c:v>
                </c:pt>
                <c:pt idx="11">
                  <c:v>0.135</c:v>
                </c:pt>
                <c:pt idx="12">
                  <c:v>0.277</c:v>
                </c:pt>
                <c:pt idx="13">
                  <c:v>0.133</c:v>
                </c:pt>
                <c:pt idx="14">
                  <c:v>0.258</c:v>
                </c:pt>
                <c:pt idx="15">
                  <c:v>0.286</c:v>
                </c:pt>
                <c:pt idx="16">
                  <c:v>0.133</c:v>
                </c:pt>
                <c:pt idx="17">
                  <c:v>0.276</c:v>
                </c:pt>
                <c:pt idx="18">
                  <c:v>0.143</c:v>
                </c:pt>
                <c:pt idx="19">
                  <c:v>0.262</c:v>
                </c:pt>
                <c:pt idx="20">
                  <c:v>0.419</c:v>
                </c:pt>
                <c:pt idx="21">
                  <c:v>0.288</c:v>
                </c:pt>
              </c:numCache>
            </c:numRef>
          </c:val>
        </c:ser>
        <c:dLbls>
          <c:showLegendKey val="0"/>
          <c:showVal val="0"/>
          <c:showCatName val="0"/>
          <c:showSerName val="0"/>
          <c:showPercent val="0"/>
          <c:showBubbleSize val="0"/>
        </c:dLbls>
        <c:gapWidth val="219"/>
        <c:overlap val="-27"/>
        <c:axId val="1440790688"/>
        <c:axId val="1440786368"/>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15:filteredBarSeries>
              <c15:ser>
                <c:idx val="3"/>
                <c:order val="3"/>
                <c:tx>
                  <c:strRef>
                    <c:extLst>
                      <c:ext uri="{02D57815-91ED-43cb-92C2-25804820EDAC}">
                        <c15:formulaRef>
                          <c15:sqref>'F 4_2'!$F$1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4_2'!$F$2:$F$23</c15:sqref>
                        </c15:formulaRef>
                      </c:ext>
                    </c:extLst>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15:ser>
            </c15:filteredBarSeries>
            <c15:filteredBarSeries>
              <c15:ser>
                <c:idx val="4"/>
                <c:order val="4"/>
                <c:tx>
                  <c:strRef>
                    <c:extLst>
                      <c:ext uri="{02D57815-91ED-43cb-92C2-25804820EDAC}">
                        <c15:formulaRef>
                          <c15:sqref>'F 4_2'!$G$1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4_2'!$G$2:$G$23</c15:sqref>
                        </c15:formulaRef>
                      </c:ext>
                    </c:extLst>
                    <c:numCache>
                      <c:formatCode>General</c:formatCode>
                      <c:ptCount val="22"/>
                      <c:pt idx="0">
                        <c:v>0.129</c:v>
                      </c:pt>
                      <c:pt idx="1">
                        <c:v>0.182</c:v>
                      </c:pt>
                      <c:pt idx="2">
                        <c:v>0.08</c:v>
                      </c:pt>
                      <c:pt idx="3">
                        <c:v>0.157</c:v>
                      </c:pt>
                      <c:pt idx="4">
                        <c:v>0.065</c:v>
                      </c:pt>
                      <c:pt idx="5">
                        <c:v>0.079</c:v>
                      </c:pt>
                      <c:pt idx="6">
                        <c:v>0.187</c:v>
                      </c:pt>
                      <c:pt idx="7">
                        <c:v>0.028</c:v>
                      </c:pt>
                      <c:pt idx="8">
                        <c:v>0.09</c:v>
                      </c:pt>
                      <c:pt idx="9">
                        <c:v>0.154</c:v>
                      </c:pt>
                      <c:pt idx="10">
                        <c:v>0.079</c:v>
                      </c:pt>
                      <c:pt idx="11">
                        <c:v>0.019</c:v>
                      </c:pt>
                      <c:pt idx="12">
                        <c:v>0.066</c:v>
                      </c:pt>
                      <c:pt idx="13">
                        <c:v>0.075</c:v>
                      </c:pt>
                      <c:pt idx="14">
                        <c:v>0.129</c:v>
                      </c:pt>
                      <c:pt idx="15">
                        <c:v>0.025</c:v>
                      </c:pt>
                      <c:pt idx="16">
                        <c:v>0.062</c:v>
                      </c:pt>
                      <c:pt idx="17">
                        <c:v>0.189</c:v>
                      </c:pt>
                      <c:pt idx="18">
                        <c:v>0.13</c:v>
                      </c:pt>
                      <c:pt idx="19">
                        <c:v>0.474</c:v>
                      </c:pt>
                      <c:pt idx="20">
                        <c:v>0.158</c:v>
                      </c:pt>
                      <c:pt idx="21">
                        <c:v>0.08</c:v>
                      </c:pt>
                    </c:numCache>
                  </c:numRef>
                </c:val>
              </c15:ser>
            </c15:filteredBarSeries>
            <c15:filteredBarSeries>
              <c15:ser>
                <c:idx val="5"/>
                <c:order val="5"/>
                <c:tx>
                  <c:strRef>
                    <c:extLst>
                      <c:ext uri="{02D57815-91ED-43cb-92C2-25804820EDAC}">
                        <c15:formulaRef>
                          <c15:sqref>'F 4_2'!$H$1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4_2'!$H$2:$H$23</c15:sqref>
                        </c15:formulaRef>
                      </c:ext>
                    </c:extLst>
                    <c:numCache>
                      <c:formatCode>General</c:formatCode>
                      <c:ptCount val="22"/>
                      <c:pt idx="0">
                        <c:v>0.876</c:v>
                      </c:pt>
                      <c:pt idx="1">
                        <c:v>0.715</c:v>
                      </c:pt>
                      <c:pt idx="2">
                        <c:v>0.966</c:v>
                      </c:pt>
                      <c:pt idx="3">
                        <c:v>0.792</c:v>
                      </c:pt>
                      <c:pt idx="4">
                        <c:v>0.961</c:v>
                      </c:pt>
                      <c:pt idx="5">
                        <c:v>0.876</c:v>
                      </c:pt>
                      <c:pt idx="6">
                        <c:v>0.715</c:v>
                      </c:pt>
                      <c:pt idx="7">
                        <c:v>0.925</c:v>
                      </c:pt>
                      <c:pt idx="8">
                        <c:v>0.862</c:v>
                      </c:pt>
                      <c:pt idx="9">
                        <c:v>0.999</c:v>
                      </c:pt>
                      <c:pt idx="10">
                        <c:v>0.938</c:v>
                      </c:pt>
                      <c:pt idx="11">
                        <c:v>0.772</c:v>
                      </c:pt>
                      <c:pt idx="12">
                        <c:v>0.916</c:v>
                      </c:pt>
                      <c:pt idx="13">
                        <c:v>0.999</c:v>
                      </c:pt>
                      <c:pt idx="14">
                        <c:v>0.871</c:v>
                      </c:pt>
                      <c:pt idx="15">
                        <c:v>0.906</c:v>
                      </c:pt>
                      <c:pt idx="16">
                        <c:v>0.999</c:v>
                      </c:pt>
                      <c:pt idx="17">
                        <c:v>0.871</c:v>
                      </c:pt>
                      <c:pt idx="18">
                        <c:v>0.906</c:v>
                      </c:pt>
                      <c:pt idx="19">
                        <c:v>0.914</c:v>
                      </c:pt>
                      <c:pt idx="20">
                        <c:v>0.842</c:v>
                      </c:pt>
                      <c:pt idx="21">
                        <c:v>0.966</c:v>
                      </c:pt>
                    </c:numCache>
                  </c:numRef>
                </c:val>
              </c15:ser>
            </c15:filteredBarSeries>
          </c:ext>
        </c:extLst>
      </c:barChart>
      <c:catAx>
        <c:axId val="144079068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440786368"/>
        <c:crosses val="autoZero"/>
        <c:auto val="1"/>
        <c:lblAlgn val="ctr"/>
        <c:lblOffset val="100"/>
        <c:tickLblSkip val="1"/>
        <c:noMultiLvlLbl val="0"/>
      </c:catAx>
      <c:valAx>
        <c:axId val="1440786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spc="0" baseline="0">
                    <a:solidFill>
                      <a:sysClr val="windowText" lastClr="000000">
                        <a:lumMod val="65000"/>
                        <a:lumOff val="35000"/>
                      </a:sysClr>
                    </a:solidFill>
                  </a:rPr>
                  <a:t>b</a:t>
                </a: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440790688"/>
        <c:crosses val="autoZero"/>
        <c:crossBetween val="between"/>
        <c:majorUnit val="0.1"/>
      </c:valAx>
      <c:spPr>
        <a:noFill/>
        <a:ln>
          <a:noFill/>
        </a:ln>
        <a:effectLst/>
      </c:spPr>
    </c:plotArea>
    <c:plotVisOnly val="1"/>
    <c:dispBlanksAs val="gap"/>
    <c:showDLblsOverMax val="0"/>
    <c:extLst>
      <c:ext uri="{0b15fc19-7d7d-44ad-8c2d-2c3a37ce22c3}">
        <chartProps xmlns="https://web.wps.cn/et/2018/main" chartId="{21517607-235c-4a2a-9c00-aa24b5db61e7}"/>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7"/>
          <c:order val="7"/>
          <c:tx>
            <c:strRef>
              <c:f>'F 4_2'!$J$1</c:f>
              <c:strCache>
                <c:ptCount val="1"/>
                <c:pt idx="0">
                  <c:v>n</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4_2'!$J$2:$J$23</c:f>
              <c:numCache>
                <c:formatCode>General</c:formatCode>
                <c:ptCount val="22"/>
                <c:pt idx="0">
                  <c:v>0.013</c:v>
                </c:pt>
                <c:pt idx="1">
                  <c:v>0.056</c:v>
                </c:pt>
                <c:pt idx="2">
                  <c:v>0.017</c:v>
                </c:pt>
                <c:pt idx="3">
                  <c:v>0.044</c:v>
                </c:pt>
                <c:pt idx="4">
                  <c:v>0.026</c:v>
                </c:pt>
                <c:pt idx="5">
                  <c:v>0.003</c:v>
                </c:pt>
                <c:pt idx="6">
                  <c:v>0.044</c:v>
                </c:pt>
                <c:pt idx="7">
                  <c:v>0.003</c:v>
                </c:pt>
                <c:pt idx="8">
                  <c:v>0.085</c:v>
                </c:pt>
                <c:pt idx="9">
                  <c:v>0.044</c:v>
                </c:pt>
                <c:pt idx="10">
                  <c:v>0.01</c:v>
                </c:pt>
                <c:pt idx="11">
                  <c:v>0</c:v>
                </c:pt>
                <c:pt idx="12">
                  <c:v>0.023</c:v>
                </c:pt>
                <c:pt idx="13">
                  <c:v>0</c:v>
                </c:pt>
                <c:pt idx="14">
                  <c:v>0.039</c:v>
                </c:pt>
                <c:pt idx="15">
                  <c:v>0.023</c:v>
                </c:pt>
                <c:pt idx="16">
                  <c:v>0.004</c:v>
                </c:pt>
                <c:pt idx="17">
                  <c:v>0.039</c:v>
                </c:pt>
                <c:pt idx="18">
                  <c:v>0.006</c:v>
                </c:pt>
                <c:pt idx="19">
                  <c:v>0.038</c:v>
                </c:pt>
                <c:pt idx="20">
                  <c:v>0.075</c:v>
                </c:pt>
                <c:pt idx="21">
                  <c:v>0.017</c:v>
                </c:pt>
              </c:numCache>
            </c:numRef>
          </c:val>
        </c:ser>
        <c:dLbls>
          <c:showLegendKey val="0"/>
          <c:showVal val="0"/>
          <c:showCatName val="0"/>
          <c:showSerName val="0"/>
          <c:showPercent val="0"/>
          <c:showBubbleSize val="0"/>
        </c:dLbls>
        <c:gapWidth val="219"/>
        <c:overlap val="-27"/>
        <c:axId val="714737808"/>
        <c:axId val="588717088"/>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15:filteredBarSeries>
              <c15:ser>
                <c:idx val="3"/>
                <c:order val="3"/>
                <c:tx>
                  <c:strRef>
                    <c:extLst>
                      <c:ext uri="{02D57815-91ED-43cb-92C2-25804820EDAC}">
                        <c15:formulaRef>
                          <c15:sqref>'F 4_2'!$F$1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4_2'!$F$2:$F$23</c15:sqref>
                        </c15:formulaRef>
                      </c:ext>
                    </c:extLst>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15:ser>
            </c15:filteredBarSeries>
            <c15:filteredBarSeries>
              <c15:ser>
                <c:idx val="4"/>
                <c:order val="4"/>
                <c:tx>
                  <c:strRef>
                    <c:extLst>
                      <c:ext uri="{02D57815-91ED-43cb-92C2-25804820EDAC}">
                        <c15:formulaRef>
                          <c15:sqref>'F 4_2'!$G$1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4_2'!$G$2:$G$23</c15:sqref>
                        </c15:formulaRef>
                      </c:ext>
                    </c:extLst>
                    <c:numCache>
                      <c:formatCode>General</c:formatCode>
                      <c:ptCount val="22"/>
                      <c:pt idx="0">
                        <c:v>0.129</c:v>
                      </c:pt>
                      <c:pt idx="1">
                        <c:v>0.182</c:v>
                      </c:pt>
                      <c:pt idx="2">
                        <c:v>0.08</c:v>
                      </c:pt>
                      <c:pt idx="3">
                        <c:v>0.157</c:v>
                      </c:pt>
                      <c:pt idx="4">
                        <c:v>0.065</c:v>
                      </c:pt>
                      <c:pt idx="5">
                        <c:v>0.079</c:v>
                      </c:pt>
                      <c:pt idx="6">
                        <c:v>0.187</c:v>
                      </c:pt>
                      <c:pt idx="7">
                        <c:v>0.028</c:v>
                      </c:pt>
                      <c:pt idx="8">
                        <c:v>0.09</c:v>
                      </c:pt>
                      <c:pt idx="9">
                        <c:v>0.154</c:v>
                      </c:pt>
                      <c:pt idx="10">
                        <c:v>0.079</c:v>
                      </c:pt>
                      <c:pt idx="11">
                        <c:v>0.019</c:v>
                      </c:pt>
                      <c:pt idx="12">
                        <c:v>0.066</c:v>
                      </c:pt>
                      <c:pt idx="13">
                        <c:v>0.075</c:v>
                      </c:pt>
                      <c:pt idx="14">
                        <c:v>0.129</c:v>
                      </c:pt>
                      <c:pt idx="15">
                        <c:v>0.025</c:v>
                      </c:pt>
                      <c:pt idx="16">
                        <c:v>0.062</c:v>
                      </c:pt>
                      <c:pt idx="17">
                        <c:v>0.189</c:v>
                      </c:pt>
                      <c:pt idx="18">
                        <c:v>0.13</c:v>
                      </c:pt>
                      <c:pt idx="19">
                        <c:v>0.474</c:v>
                      </c:pt>
                      <c:pt idx="20">
                        <c:v>0.158</c:v>
                      </c:pt>
                      <c:pt idx="21">
                        <c:v>0.08</c:v>
                      </c:pt>
                    </c:numCache>
                  </c:numRef>
                </c:val>
              </c15:ser>
            </c15:filteredBarSeries>
            <c15:filteredBarSeries>
              <c15:ser>
                <c:idx val="5"/>
                <c:order val="5"/>
                <c:tx>
                  <c:strRef>
                    <c:extLst>
                      <c:ext uri="{02D57815-91ED-43cb-92C2-25804820EDAC}">
                        <c15:formulaRef>
                          <c15:sqref>'F 4_2'!$H$1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4_2'!$H$2:$H$23</c15:sqref>
                        </c15:formulaRef>
                      </c:ext>
                    </c:extLst>
                    <c:numCache>
                      <c:formatCode>General</c:formatCode>
                      <c:ptCount val="22"/>
                      <c:pt idx="0">
                        <c:v>0.876</c:v>
                      </c:pt>
                      <c:pt idx="1">
                        <c:v>0.715</c:v>
                      </c:pt>
                      <c:pt idx="2">
                        <c:v>0.966</c:v>
                      </c:pt>
                      <c:pt idx="3">
                        <c:v>0.792</c:v>
                      </c:pt>
                      <c:pt idx="4">
                        <c:v>0.961</c:v>
                      </c:pt>
                      <c:pt idx="5">
                        <c:v>0.876</c:v>
                      </c:pt>
                      <c:pt idx="6">
                        <c:v>0.715</c:v>
                      </c:pt>
                      <c:pt idx="7">
                        <c:v>0.925</c:v>
                      </c:pt>
                      <c:pt idx="8">
                        <c:v>0.862</c:v>
                      </c:pt>
                      <c:pt idx="9">
                        <c:v>0.999</c:v>
                      </c:pt>
                      <c:pt idx="10">
                        <c:v>0.938</c:v>
                      </c:pt>
                      <c:pt idx="11">
                        <c:v>0.772</c:v>
                      </c:pt>
                      <c:pt idx="12">
                        <c:v>0.916</c:v>
                      </c:pt>
                      <c:pt idx="13">
                        <c:v>0.999</c:v>
                      </c:pt>
                      <c:pt idx="14">
                        <c:v>0.871</c:v>
                      </c:pt>
                      <c:pt idx="15">
                        <c:v>0.906</c:v>
                      </c:pt>
                      <c:pt idx="16">
                        <c:v>0.999</c:v>
                      </c:pt>
                      <c:pt idx="17">
                        <c:v>0.871</c:v>
                      </c:pt>
                      <c:pt idx="18">
                        <c:v>0.906</c:v>
                      </c:pt>
                      <c:pt idx="19">
                        <c:v>0.914</c:v>
                      </c:pt>
                      <c:pt idx="20">
                        <c:v>0.842</c:v>
                      </c:pt>
                      <c:pt idx="21">
                        <c:v>0.966</c:v>
                      </c:pt>
                    </c:numCache>
                  </c:numRef>
                </c:val>
              </c15:ser>
            </c15:filteredBarSeries>
            <c15:filteredBarSeries>
              <c15:ser>
                <c:idx val="6"/>
                <c:order val="6"/>
                <c:tx>
                  <c:strRef>
                    <c:extLst>
                      <c:ext uri="{02D57815-91ED-43cb-92C2-25804820EDAC}">
                        <c15:formulaRef>
                          <c15:sqref>'F 4_2'!$I$1</c15:sqref>
                        </c15:formulaRef>
                      </c:ext>
                    </c:extLst>
                    <c:strCache>
                      <c:ptCount val="1"/>
                      <c:pt idx="0">
                        <c:v>b</c:v>
                      </c:pt>
                    </c:strCache>
                  </c:strRef>
                </c:tx>
                <c:spPr>
                  <a:solidFill>
                    <a:schemeClr val="accent1">
                      <a:lumMod val="60000"/>
                    </a:schemeClr>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4_2'!$I$2:$I$23</c15:sqref>
                        </c15:formulaRef>
                      </c:ext>
                    </c:extLst>
                    <c:numCache>
                      <c:formatCode>General</c:formatCode>
                      <c:ptCount val="22"/>
                      <c:pt idx="0">
                        <c:v>0.262</c:v>
                      </c:pt>
                      <c:pt idx="1">
                        <c:v>0.268</c:v>
                      </c:pt>
                      <c:pt idx="2">
                        <c:v>0.298</c:v>
                      </c:pt>
                      <c:pt idx="3">
                        <c:v>0.264</c:v>
                      </c:pt>
                      <c:pt idx="4">
                        <c:v>0.22</c:v>
                      </c:pt>
                      <c:pt idx="5">
                        <c:v>0.131</c:v>
                      </c:pt>
                      <c:pt idx="6">
                        <c:v>0.261</c:v>
                      </c:pt>
                      <c:pt idx="7">
                        <c:v>0.15</c:v>
                      </c:pt>
                      <c:pt idx="8">
                        <c:v>0.136</c:v>
                      </c:pt>
                      <c:pt idx="9">
                        <c:v>0.267</c:v>
                      </c:pt>
                      <c:pt idx="10">
                        <c:v>0.21</c:v>
                      </c:pt>
                      <c:pt idx="11">
                        <c:v>0.135</c:v>
                      </c:pt>
                      <c:pt idx="12">
                        <c:v>0.277</c:v>
                      </c:pt>
                      <c:pt idx="13">
                        <c:v>0.133</c:v>
                      </c:pt>
                      <c:pt idx="14">
                        <c:v>0.258</c:v>
                      </c:pt>
                      <c:pt idx="15">
                        <c:v>0.286</c:v>
                      </c:pt>
                      <c:pt idx="16">
                        <c:v>0.133</c:v>
                      </c:pt>
                      <c:pt idx="17">
                        <c:v>0.276</c:v>
                      </c:pt>
                      <c:pt idx="18">
                        <c:v>0.143</c:v>
                      </c:pt>
                      <c:pt idx="19">
                        <c:v>0.262</c:v>
                      </c:pt>
                      <c:pt idx="20">
                        <c:v>0.419</c:v>
                      </c:pt>
                      <c:pt idx="21">
                        <c:v>0.288</c:v>
                      </c:pt>
                    </c:numCache>
                  </c:numRef>
                </c:val>
              </c15:ser>
            </c15:filteredBarSeries>
          </c:ext>
        </c:extLst>
      </c:barChart>
      <c:catAx>
        <c:axId val="714737808"/>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588717088"/>
        <c:crosses val="autoZero"/>
        <c:auto val="1"/>
        <c:lblAlgn val="ctr"/>
        <c:lblOffset val="100"/>
        <c:tickLblSkip val="1"/>
        <c:noMultiLvlLbl val="0"/>
      </c:catAx>
      <c:valAx>
        <c:axId val="588717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𝑛 (cm2/hr) </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14737808"/>
        <c:crosses val="autoZero"/>
        <c:crossBetween val="between"/>
        <c:majorUnit val="0.02"/>
      </c:valAx>
      <c:spPr>
        <a:noFill/>
        <a:ln>
          <a:noFill/>
        </a:ln>
        <a:effectLst/>
      </c:spPr>
    </c:plotArea>
    <c:plotVisOnly val="1"/>
    <c:dispBlanksAs val="gap"/>
    <c:showDLblsOverMax val="0"/>
    <c:extLst>
      <c:ext uri="{0b15fc19-7d7d-44ad-8c2d-2c3a37ce22c3}">
        <chartProps xmlns="https://web.wps.cn/et/2018/main" chartId="{dce252df-d265-4150-82b4-29b7df98a4b2}"/>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8"/>
          <c:order val="8"/>
          <c:tx>
            <c:strRef>
              <c:f>'F 4_2'!$K$1</c:f>
              <c:strCache>
                <c:ptCount val="1"/>
                <c:pt idx="0">
                  <c:v>m</c:v>
                </c:pt>
              </c:strCache>
            </c:strRef>
          </c:tx>
          <c:spPr>
            <a:solidFill>
              <a:schemeClr val="accent6"/>
            </a:solidFill>
            <a:ln>
              <a:noFill/>
            </a:ln>
            <a:effectLst/>
          </c:spPr>
          <c:invertIfNegative val="0"/>
          <c:dLbls>
            <c:delete val="1"/>
          </c:dLbls>
          <c:cat>
            <c:multiLvlStrRef>
              <c:f>'F 4_2'!$A$2:$B$23</c:f>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f>'F 4_2'!$K$2:$K$23</c:f>
              <c:numCache>
                <c:formatCode>General</c:formatCode>
                <c:ptCount val="22"/>
                <c:pt idx="0">
                  <c:v>0.197</c:v>
                </c:pt>
                <c:pt idx="1">
                  <c:v>0.002</c:v>
                </c:pt>
                <c:pt idx="2">
                  <c:v>0.208</c:v>
                </c:pt>
                <c:pt idx="3">
                  <c:v>0.077</c:v>
                </c:pt>
                <c:pt idx="4">
                  <c:v>0.038</c:v>
                </c:pt>
                <c:pt idx="5">
                  <c:v>0.099</c:v>
                </c:pt>
                <c:pt idx="6">
                  <c:v>0.055</c:v>
                </c:pt>
                <c:pt idx="7">
                  <c:v>0.099</c:v>
                </c:pt>
                <c:pt idx="8">
                  <c:v>0.005</c:v>
                </c:pt>
                <c:pt idx="9">
                  <c:v>0.055</c:v>
                </c:pt>
                <c:pt idx="10">
                  <c:v>0.15</c:v>
                </c:pt>
                <c:pt idx="11">
                  <c:v>0.08</c:v>
                </c:pt>
                <c:pt idx="12">
                  <c:v>0.173</c:v>
                </c:pt>
                <c:pt idx="13">
                  <c:v>0.133</c:v>
                </c:pt>
                <c:pt idx="14">
                  <c:v>0.096</c:v>
                </c:pt>
                <c:pt idx="15">
                  <c:v>0.176</c:v>
                </c:pt>
                <c:pt idx="16">
                  <c:v>0.112</c:v>
                </c:pt>
                <c:pt idx="17">
                  <c:v>0.096</c:v>
                </c:pt>
                <c:pt idx="18">
                  <c:v>0.088</c:v>
                </c:pt>
                <c:pt idx="19">
                  <c:v>0.184</c:v>
                </c:pt>
                <c:pt idx="20">
                  <c:v>0.186</c:v>
                </c:pt>
                <c:pt idx="21">
                  <c:v>0.208</c:v>
                </c:pt>
              </c:numCache>
            </c:numRef>
          </c:val>
        </c:ser>
        <c:dLbls>
          <c:showLegendKey val="0"/>
          <c:showVal val="0"/>
          <c:showCatName val="0"/>
          <c:showSerName val="0"/>
          <c:showPercent val="0"/>
          <c:showBubbleSize val="0"/>
        </c:dLbls>
        <c:gapWidth val="219"/>
        <c:overlap val="-27"/>
        <c:axId val="714664984"/>
        <c:axId val="714664264"/>
        <c:extLst>
          <c:ext xmlns:c15="http://schemas.microsoft.com/office/drawing/2012/chart" uri="{02D57815-91ED-43cb-92C2-25804820EDAC}">
            <c15:filteredBarSeries>
              <c15:ser>
                <c:idx val="0"/>
                <c:order val="0"/>
                <c:tx>
                  <c:strRef>
                    <c:extLst>
                      <c:ext uri="{02D57815-91ED-43cb-92C2-25804820EDAC}">
                        <c15:formulaRef>
                          <c15:sqref>'F 4_2'!$C$1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4_2'!$C$2:$C$23</c15:sqref>
                        </c15:formulaRef>
                      </c:ext>
                    </c:extLst>
                    <c:numCache>
                      <c:formatCode>General</c:formatCode>
                      <c:ptCount val="22"/>
                      <c:pt idx="0">
                        <c:v>0.454</c:v>
                      </c:pt>
                      <c:pt idx="1">
                        <c:v>2.184</c:v>
                      </c:pt>
                      <c:pt idx="2">
                        <c:v>1.891</c:v>
                      </c:pt>
                      <c:pt idx="3">
                        <c:v>0.546</c:v>
                      </c:pt>
                      <c:pt idx="4">
                        <c:v>3.73</c:v>
                      </c:pt>
                      <c:pt idx="5">
                        <c:v>0.546</c:v>
                      </c:pt>
                      <c:pt idx="6">
                        <c:v>1.325</c:v>
                      </c:pt>
                      <c:pt idx="7">
                        <c:v>2.73</c:v>
                      </c:pt>
                      <c:pt idx="8">
                        <c:v>1.974</c:v>
                      </c:pt>
                      <c:pt idx="9">
                        <c:v>1.465</c:v>
                      </c:pt>
                      <c:pt idx="10">
                        <c:v>2.146</c:v>
                      </c:pt>
                      <c:pt idx="11">
                        <c:v>1.774</c:v>
                      </c:pt>
                      <c:pt idx="12">
                        <c:v>1.668</c:v>
                      </c:pt>
                      <c:pt idx="13">
                        <c:v>1.343</c:v>
                      </c:pt>
                      <c:pt idx="14">
                        <c:v>1.343</c:v>
                      </c:pt>
                      <c:pt idx="15">
                        <c:v>1.465</c:v>
                      </c:pt>
                      <c:pt idx="16">
                        <c:v>2.21</c:v>
                      </c:pt>
                      <c:pt idx="17">
                        <c:v>2.268</c:v>
                      </c:pt>
                      <c:pt idx="18">
                        <c:v>1.969</c:v>
                      </c:pt>
                      <c:pt idx="19">
                        <c:v>1.083</c:v>
                      </c:pt>
                      <c:pt idx="20">
                        <c:v>1.104</c:v>
                      </c:pt>
                      <c:pt idx="21">
                        <c:v>1.891</c:v>
                      </c:pt>
                    </c:numCache>
                  </c:numRef>
                </c:val>
              </c15:ser>
            </c15:filteredBarSeries>
            <c15:filteredBarSeries>
              <c15:ser>
                <c:idx val="1"/>
                <c:order val="1"/>
                <c:tx>
                  <c:strRef>
                    <c:extLst>
                      <c:ext uri="{02D57815-91ED-43cb-92C2-25804820EDAC}">
                        <c15:formulaRef>
                          <c15:sqref>'F 4_2'!$D$1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4_2'!$D$2:$D$23</c15:sqref>
                        </c15:formulaRef>
                      </c:ext>
                    </c:extLst>
                    <c:numCache>
                      <c:formatCode>General</c:formatCode>
                      <c:ptCount val="22"/>
                      <c:pt idx="0">
                        <c:v>0.267</c:v>
                      </c:pt>
                      <c:pt idx="1">
                        <c:v>0.117</c:v>
                      </c:pt>
                      <c:pt idx="2">
                        <c:v>0.256</c:v>
                      </c:pt>
                      <c:pt idx="3">
                        <c:v>0.133</c:v>
                      </c:pt>
                      <c:pt idx="4">
                        <c:v>0.117</c:v>
                      </c:pt>
                      <c:pt idx="5">
                        <c:v>0.133</c:v>
                      </c:pt>
                      <c:pt idx="6">
                        <c:v>0.207</c:v>
                      </c:pt>
                      <c:pt idx="7">
                        <c:v>0.117</c:v>
                      </c:pt>
                      <c:pt idx="8">
                        <c:v>0.118</c:v>
                      </c:pt>
                      <c:pt idx="9">
                        <c:v>0.538</c:v>
                      </c:pt>
                      <c:pt idx="10">
                        <c:v>0.187</c:v>
                      </c:pt>
                      <c:pt idx="11">
                        <c:v>0.266</c:v>
                      </c:pt>
                      <c:pt idx="12">
                        <c:v>0.244</c:v>
                      </c:pt>
                      <c:pt idx="13">
                        <c:v>0.413</c:v>
                      </c:pt>
                      <c:pt idx="14">
                        <c:v>0.143</c:v>
                      </c:pt>
                      <c:pt idx="15">
                        <c:v>0.538</c:v>
                      </c:pt>
                      <c:pt idx="16">
                        <c:v>0.136</c:v>
                      </c:pt>
                      <c:pt idx="17">
                        <c:v>0.502</c:v>
                      </c:pt>
                      <c:pt idx="18">
                        <c:v>0.121</c:v>
                      </c:pt>
                      <c:pt idx="19">
                        <c:v>0.351</c:v>
                      </c:pt>
                      <c:pt idx="20">
                        <c:v>0.387</c:v>
                      </c:pt>
                      <c:pt idx="21">
                        <c:v>0.256</c:v>
                      </c:pt>
                    </c:numCache>
                  </c:numRef>
                </c:val>
              </c15:ser>
            </c15:filteredBarSeries>
            <c15:filteredBarSeries>
              <c15:ser>
                <c:idx val="2"/>
                <c:order val="2"/>
                <c:tx>
                  <c:strRef>
                    <c:extLst>
                      <c:ext uri="{02D57815-91ED-43cb-92C2-25804820EDAC}">
                        <c15:formulaRef>
                          <c15:sqref>'F 4_2'!$E$1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4_2'!$E$2:$E$23</c15:sqref>
                        </c15:formulaRef>
                      </c:ext>
                    </c:extLst>
                    <c:numCache>
                      <c:formatCode>General</c:formatCode>
                      <c:ptCount val="22"/>
                      <c:pt idx="0">
                        <c:v>0.233</c:v>
                      </c:pt>
                      <c:pt idx="1">
                        <c:v>0.117</c:v>
                      </c:pt>
                      <c:pt idx="2">
                        <c:v>0.25</c:v>
                      </c:pt>
                      <c:pt idx="3">
                        <c:v>0.117</c:v>
                      </c:pt>
                      <c:pt idx="4">
                        <c:v>0.117</c:v>
                      </c:pt>
                      <c:pt idx="5">
                        <c:v>0.117</c:v>
                      </c:pt>
                      <c:pt idx="6">
                        <c:v>0.183</c:v>
                      </c:pt>
                      <c:pt idx="7">
                        <c:v>0.117</c:v>
                      </c:pt>
                      <c:pt idx="8">
                        <c:v>0.113</c:v>
                      </c:pt>
                      <c:pt idx="9">
                        <c:v>0.533</c:v>
                      </c:pt>
                      <c:pt idx="10">
                        <c:v>0.183</c:v>
                      </c:pt>
                      <c:pt idx="11">
                        <c:v>0.26</c:v>
                      </c:pt>
                      <c:pt idx="12">
                        <c:v>0.233</c:v>
                      </c:pt>
                      <c:pt idx="13">
                        <c:v>0.4</c:v>
                      </c:pt>
                      <c:pt idx="14">
                        <c:v>0.4</c:v>
                      </c:pt>
                      <c:pt idx="15">
                        <c:v>0.533</c:v>
                      </c:pt>
                      <c:pt idx="16">
                        <c:v>0.133</c:v>
                      </c:pt>
                      <c:pt idx="17">
                        <c:v>0.5</c:v>
                      </c:pt>
                      <c:pt idx="18">
                        <c:v>0.117</c:v>
                      </c:pt>
                      <c:pt idx="19">
                        <c:v>0.333</c:v>
                      </c:pt>
                      <c:pt idx="20">
                        <c:v>0.367</c:v>
                      </c:pt>
                      <c:pt idx="21">
                        <c:v>0.25</c:v>
                      </c:pt>
                    </c:numCache>
                  </c:numRef>
                </c:val>
              </c15:ser>
            </c15:filteredBarSeries>
            <c15:filteredBarSeries>
              <c15:ser>
                <c:idx val="3"/>
                <c:order val="3"/>
                <c:tx>
                  <c:strRef>
                    <c:extLst>
                      <c:ext uri="{02D57815-91ED-43cb-92C2-25804820EDAC}">
                        <c15:formulaRef>
                          <c15:sqref>'F 4_2'!$F$1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4_2'!$F$2:$F$23</c15:sqref>
                        </c15:formulaRef>
                      </c:ext>
                    </c:extLst>
                    <c:numCache>
                      <c:formatCode>General</c:formatCode>
                      <c:ptCount val="22"/>
                      <c:pt idx="0">
                        <c:v>0.343</c:v>
                      </c:pt>
                      <c:pt idx="1">
                        <c:v>0.128</c:v>
                      </c:pt>
                      <c:pt idx="2">
                        <c:v>0.424</c:v>
                      </c:pt>
                      <c:pt idx="3">
                        <c:v>0.189</c:v>
                      </c:pt>
                      <c:pt idx="4">
                        <c:v>0.312</c:v>
                      </c:pt>
                      <c:pt idx="5">
                        <c:v>0.095</c:v>
                      </c:pt>
                      <c:pt idx="6">
                        <c:v>0.156</c:v>
                      </c:pt>
                      <c:pt idx="7">
                        <c:v>0.205</c:v>
                      </c:pt>
                      <c:pt idx="8">
                        <c:v>0.082</c:v>
                      </c:pt>
                      <c:pt idx="9">
                        <c:v>0.307</c:v>
                      </c:pt>
                      <c:pt idx="10">
                        <c:v>0.259</c:v>
                      </c:pt>
                      <c:pt idx="11">
                        <c:v>0.214</c:v>
                      </c:pt>
                      <c:pt idx="12">
                        <c:v>0.416</c:v>
                      </c:pt>
                      <c:pt idx="13">
                        <c:v>0.81</c:v>
                      </c:pt>
                      <c:pt idx="14">
                        <c:v>0.343</c:v>
                      </c:pt>
                      <c:pt idx="15">
                        <c:v>0.519</c:v>
                      </c:pt>
                      <c:pt idx="16">
                        <c:v>0.382</c:v>
                      </c:pt>
                      <c:pt idx="17">
                        <c:v>0.277</c:v>
                      </c:pt>
                      <c:pt idx="18">
                        <c:v>0.025</c:v>
                      </c:pt>
                      <c:pt idx="19">
                        <c:v>0.066</c:v>
                      </c:pt>
                      <c:pt idx="20">
                        <c:v>0.519</c:v>
                      </c:pt>
                      <c:pt idx="21">
                        <c:v>0.424</c:v>
                      </c:pt>
                    </c:numCache>
                  </c:numRef>
                </c:val>
              </c15:ser>
            </c15:filteredBarSeries>
            <c15:filteredBarSeries>
              <c15:ser>
                <c:idx val="4"/>
                <c:order val="4"/>
                <c:tx>
                  <c:strRef>
                    <c:extLst>
                      <c:ext uri="{02D57815-91ED-43cb-92C2-25804820EDAC}">
                        <c15:formulaRef>
                          <c15:sqref>'F 4_2'!$G$1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4_2'!$G$2:$G$23</c15:sqref>
                        </c15:formulaRef>
                      </c:ext>
                    </c:extLst>
                    <c:numCache>
                      <c:formatCode>General</c:formatCode>
                      <c:ptCount val="22"/>
                      <c:pt idx="0">
                        <c:v>0.129</c:v>
                      </c:pt>
                      <c:pt idx="1">
                        <c:v>0.182</c:v>
                      </c:pt>
                      <c:pt idx="2">
                        <c:v>0.08</c:v>
                      </c:pt>
                      <c:pt idx="3">
                        <c:v>0.157</c:v>
                      </c:pt>
                      <c:pt idx="4">
                        <c:v>0.065</c:v>
                      </c:pt>
                      <c:pt idx="5">
                        <c:v>0.079</c:v>
                      </c:pt>
                      <c:pt idx="6">
                        <c:v>0.187</c:v>
                      </c:pt>
                      <c:pt idx="7">
                        <c:v>0.028</c:v>
                      </c:pt>
                      <c:pt idx="8">
                        <c:v>0.09</c:v>
                      </c:pt>
                      <c:pt idx="9">
                        <c:v>0.154</c:v>
                      </c:pt>
                      <c:pt idx="10">
                        <c:v>0.079</c:v>
                      </c:pt>
                      <c:pt idx="11">
                        <c:v>0.019</c:v>
                      </c:pt>
                      <c:pt idx="12">
                        <c:v>0.066</c:v>
                      </c:pt>
                      <c:pt idx="13">
                        <c:v>0.075</c:v>
                      </c:pt>
                      <c:pt idx="14">
                        <c:v>0.129</c:v>
                      </c:pt>
                      <c:pt idx="15">
                        <c:v>0.025</c:v>
                      </c:pt>
                      <c:pt idx="16">
                        <c:v>0.062</c:v>
                      </c:pt>
                      <c:pt idx="17">
                        <c:v>0.189</c:v>
                      </c:pt>
                      <c:pt idx="18">
                        <c:v>0.13</c:v>
                      </c:pt>
                      <c:pt idx="19">
                        <c:v>0.474</c:v>
                      </c:pt>
                      <c:pt idx="20">
                        <c:v>0.158</c:v>
                      </c:pt>
                      <c:pt idx="21">
                        <c:v>0.08</c:v>
                      </c:pt>
                    </c:numCache>
                  </c:numRef>
                </c:val>
              </c15:ser>
            </c15:filteredBarSeries>
            <c15:filteredBarSeries>
              <c15:ser>
                <c:idx val="5"/>
                <c:order val="5"/>
                <c:tx>
                  <c:strRef>
                    <c:extLst>
                      <c:ext uri="{02D57815-91ED-43cb-92C2-25804820EDAC}">
                        <c15:formulaRef>
                          <c15:sqref>'F 4_2'!$H$1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4_2'!$H$2:$H$23</c15:sqref>
                        </c15:formulaRef>
                      </c:ext>
                    </c:extLst>
                    <c:numCache>
                      <c:formatCode>General</c:formatCode>
                      <c:ptCount val="22"/>
                      <c:pt idx="0">
                        <c:v>0.876</c:v>
                      </c:pt>
                      <c:pt idx="1">
                        <c:v>0.715</c:v>
                      </c:pt>
                      <c:pt idx="2">
                        <c:v>0.966</c:v>
                      </c:pt>
                      <c:pt idx="3">
                        <c:v>0.792</c:v>
                      </c:pt>
                      <c:pt idx="4">
                        <c:v>0.961</c:v>
                      </c:pt>
                      <c:pt idx="5">
                        <c:v>0.876</c:v>
                      </c:pt>
                      <c:pt idx="6">
                        <c:v>0.715</c:v>
                      </c:pt>
                      <c:pt idx="7">
                        <c:v>0.925</c:v>
                      </c:pt>
                      <c:pt idx="8">
                        <c:v>0.862</c:v>
                      </c:pt>
                      <c:pt idx="9">
                        <c:v>0.999</c:v>
                      </c:pt>
                      <c:pt idx="10">
                        <c:v>0.938</c:v>
                      </c:pt>
                      <c:pt idx="11">
                        <c:v>0.772</c:v>
                      </c:pt>
                      <c:pt idx="12">
                        <c:v>0.916</c:v>
                      </c:pt>
                      <c:pt idx="13">
                        <c:v>0.999</c:v>
                      </c:pt>
                      <c:pt idx="14">
                        <c:v>0.871</c:v>
                      </c:pt>
                      <c:pt idx="15">
                        <c:v>0.906</c:v>
                      </c:pt>
                      <c:pt idx="16">
                        <c:v>0.999</c:v>
                      </c:pt>
                      <c:pt idx="17">
                        <c:v>0.871</c:v>
                      </c:pt>
                      <c:pt idx="18">
                        <c:v>0.906</c:v>
                      </c:pt>
                      <c:pt idx="19">
                        <c:v>0.914</c:v>
                      </c:pt>
                      <c:pt idx="20">
                        <c:v>0.842</c:v>
                      </c:pt>
                      <c:pt idx="21">
                        <c:v>0.966</c:v>
                      </c:pt>
                    </c:numCache>
                  </c:numRef>
                </c:val>
              </c15:ser>
            </c15:filteredBarSeries>
            <c15:filteredBarSeries>
              <c15:ser>
                <c:idx val="6"/>
                <c:order val="6"/>
                <c:tx>
                  <c:strRef>
                    <c:extLst>
                      <c:ext uri="{02D57815-91ED-43cb-92C2-25804820EDAC}">
                        <c15:formulaRef>
                          <c15:sqref>'F 4_2'!$I$1</c15:sqref>
                        </c15:formulaRef>
                      </c:ext>
                    </c:extLst>
                    <c:strCache>
                      <c:ptCount val="1"/>
                      <c:pt idx="0">
                        <c:v>b</c:v>
                      </c:pt>
                    </c:strCache>
                  </c:strRef>
                </c:tx>
                <c:spPr>
                  <a:solidFill>
                    <a:schemeClr val="accent1">
                      <a:lumMod val="60000"/>
                    </a:schemeClr>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4_2'!$I$2:$I$23</c15:sqref>
                        </c15:formulaRef>
                      </c:ext>
                    </c:extLst>
                    <c:numCache>
                      <c:formatCode>General</c:formatCode>
                      <c:ptCount val="22"/>
                      <c:pt idx="0">
                        <c:v>0.262</c:v>
                      </c:pt>
                      <c:pt idx="1">
                        <c:v>0.268</c:v>
                      </c:pt>
                      <c:pt idx="2">
                        <c:v>0.298</c:v>
                      </c:pt>
                      <c:pt idx="3">
                        <c:v>0.264</c:v>
                      </c:pt>
                      <c:pt idx="4">
                        <c:v>0.22</c:v>
                      </c:pt>
                      <c:pt idx="5">
                        <c:v>0.131</c:v>
                      </c:pt>
                      <c:pt idx="6">
                        <c:v>0.261</c:v>
                      </c:pt>
                      <c:pt idx="7">
                        <c:v>0.15</c:v>
                      </c:pt>
                      <c:pt idx="8">
                        <c:v>0.136</c:v>
                      </c:pt>
                      <c:pt idx="9">
                        <c:v>0.267</c:v>
                      </c:pt>
                      <c:pt idx="10">
                        <c:v>0.21</c:v>
                      </c:pt>
                      <c:pt idx="11">
                        <c:v>0.135</c:v>
                      </c:pt>
                      <c:pt idx="12">
                        <c:v>0.277</c:v>
                      </c:pt>
                      <c:pt idx="13">
                        <c:v>0.133</c:v>
                      </c:pt>
                      <c:pt idx="14">
                        <c:v>0.258</c:v>
                      </c:pt>
                      <c:pt idx="15">
                        <c:v>0.286</c:v>
                      </c:pt>
                      <c:pt idx="16">
                        <c:v>0.133</c:v>
                      </c:pt>
                      <c:pt idx="17">
                        <c:v>0.276</c:v>
                      </c:pt>
                      <c:pt idx="18">
                        <c:v>0.143</c:v>
                      </c:pt>
                      <c:pt idx="19">
                        <c:v>0.262</c:v>
                      </c:pt>
                      <c:pt idx="20">
                        <c:v>0.419</c:v>
                      </c:pt>
                      <c:pt idx="21">
                        <c:v>0.288</c:v>
                      </c:pt>
                    </c:numCache>
                  </c:numRef>
                </c:val>
              </c15:ser>
            </c15:filteredBarSeries>
            <c15:filteredBarSeries>
              <c15:ser>
                <c:idx val="7"/>
                <c:order val="7"/>
                <c:tx>
                  <c:strRef>
                    <c:extLst>
                      <c:ext uri="{02D57815-91ED-43cb-92C2-25804820EDAC}">
                        <c15:formulaRef>
                          <c15:sqref>'F 4_2'!$J$1</c15:sqref>
                        </c15:formulaRef>
                      </c:ext>
                    </c:extLst>
                    <c:strCache>
                      <c:ptCount val="1"/>
                      <c:pt idx="0">
                        <c:v>n</c:v>
                      </c:pt>
                    </c:strCache>
                  </c:strRef>
                </c:tx>
                <c:spPr>
                  <a:solidFill>
                    <a:schemeClr val="accent2">
                      <a:lumMod val="60000"/>
                    </a:schemeClr>
                  </a:solidFill>
                  <a:ln>
                    <a:noFill/>
                  </a:ln>
                  <a:effectLst/>
                </c:spPr>
                <c:invertIfNegative val="0"/>
                <c:dLbls>
                  <c:delete val="1"/>
                </c:dLbls>
                <c:cat>
                  <c:multiLvlStrRef>
                    <c:extLst>
                      <c:ext uri="{02D57815-91ED-43cb-92C2-25804820EDAC}">
                        <c15:fullRef>
                          <c15:sqref/>
                        </c15:fullRef>
                        <c15:formulaRef>
                          <c15:sqref>'F 4_2'!$A$2:$B$23</c15:sqref>
                        </c15:formulaRef>
                      </c:ext>
                    </c:extLst>
                    <c:multiLvlStrCache>
                      <c:ptCount val="22"/>
                      <c:lvl>
                        <c:pt idx="0">
                          <c:v>Head upper end </c:v>
                        </c:pt>
                        <c:pt idx="1">
                          <c:v>Head intermediate</c:v>
                        </c:pt>
                        <c:pt idx="2">
                          <c:v>Head lower end </c:v>
                        </c:pt>
                        <c:pt idx="3">
                          <c:v>Middle upper end </c:v>
                        </c:pt>
                        <c:pt idx="4">
                          <c:v>Middle intermediate</c:v>
                        </c:pt>
                        <c:pt idx="5">
                          <c:v>Middle lower end </c:v>
                        </c:pt>
                        <c:pt idx="6">
                          <c:v>Tail Upper end </c:v>
                        </c:pt>
                        <c:pt idx="7">
                          <c:v>Tail Intermediate</c:v>
                        </c:pt>
                        <c:pt idx="8">
                          <c:v>Head upper end </c:v>
                        </c:pt>
                        <c:pt idx="9">
                          <c:v>Head intermediate</c:v>
                        </c:pt>
                        <c:pt idx="10">
                          <c:v>Head lower end </c:v>
                        </c:pt>
                        <c:pt idx="11">
                          <c:v>Middle upper end </c:v>
                        </c:pt>
                        <c:pt idx="12">
                          <c:v>Middle intermediate</c:v>
                        </c:pt>
                        <c:pt idx="13">
                          <c:v>Middle lower end</c:v>
                        </c:pt>
                        <c:pt idx="14">
                          <c:v>Tail upper end </c:v>
                        </c:pt>
                        <c:pt idx="15">
                          <c:v>Tail intermediate</c:v>
                        </c:pt>
                        <c:pt idx="16">
                          <c:v>Tail lower end</c:v>
                        </c:pt>
                        <c:pt idx="17">
                          <c:v>Head upper end </c:v>
                        </c:pt>
                        <c:pt idx="18">
                          <c:v>Head lower end</c:v>
                        </c:pt>
                        <c:pt idx="19">
                          <c:v>Middle upper end </c:v>
                        </c:pt>
                        <c:pt idx="20">
                          <c:v>Middle intermediate</c:v>
                        </c:pt>
                        <c:pt idx="21">
                          <c:v>Middle lower end</c:v>
                        </c:pt>
                      </c:lvl>
                      <c:lvl>
                        <c:pt idx="0">
                          <c:v>FC1/D3</c:v>
                        </c:pt>
                        <c:pt idx="8">
                          <c:v>FC4/D3</c:v>
                        </c:pt>
                        <c:pt idx="17">
                          <c:v>FC7/D3</c:v>
                        </c:pt>
                      </c:lvl>
                    </c:multiLvlStrCache>
                  </c:multiLvlStrRef>
                </c:cat>
                <c:val>
                  <c:numRef>
                    <c:extLst>
                      <c:ext uri="{02D57815-91ED-43cb-92C2-25804820EDAC}">
                        <c15:formulaRef>
                          <c15:sqref>'F 4_2'!$J$2:$J$23</c15:sqref>
                        </c15:formulaRef>
                      </c:ext>
                    </c:extLst>
                    <c:numCache>
                      <c:formatCode>General</c:formatCode>
                      <c:ptCount val="22"/>
                      <c:pt idx="0">
                        <c:v>0.013</c:v>
                      </c:pt>
                      <c:pt idx="1">
                        <c:v>0.056</c:v>
                      </c:pt>
                      <c:pt idx="2">
                        <c:v>0.017</c:v>
                      </c:pt>
                      <c:pt idx="3">
                        <c:v>0.044</c:v>
                      </c:pt>
                      <c:pt idx="4">
                        <c:v>0.026</c:v>
                      </c:pt>
                      <c:pt idx="5">
                        <c:v>0.003</c:v>
                      </c:pt>
                      <c:pt idx="6">
                        <c:v>0.044</c:v>
                      </c:pt>
                      <c:pt idx="7">
                        <c:v>0.003</c:v>
                      </c:pt>
                      <c:pt idx="8">
                        <c:v>0.085</c:v>
                      </c:pt>
                      <c:pt idx="9">
                        <c:v>0.044</c:v>
                      </c:pt>
                      <c:pt idx="10">
                        <c:v>0.01</c:v>
                      </c:pt>
                      <c:pt idx="11">
                        <c:v>0</c:v>
                      </c:pt>
                      <c:pt idx="12">
                        <c:v>0.023</c:v>
                      </c:pt>
                      <c:pt idx="13">
                        <c:v>0</c:v>
                      </c:pt>
                      <c:pt idx="14">
                        <c:v>0.039</c:v>
                      </c:pt>
                      <c:pt idx="15">
                        <c:v>0.023</c:v>
                      </c:pt>
                      <c:pt idx="16">
                        <c:v>0.004</c:v>
                      </c:pt>
                      <c:pt idx="17">
                        <c:v>0.039</c:v>
                      </c:pt>
                      <c:pt idx="18">
                        <c:v>0.006</c:v>
                      </c:pt>
                      <c:pt idx="19">
                        <c:v>0.038</c:v>
                      </c:pt>
                      <c:pt idx="20">
                        <c:v>0.075</c:v>
                      </c:pt>
                      <c:pt idx="21">
                        <c:v>0.017</c:v>
                      </c:pt>
                    </c:numCache>
                  </c:numRef>
                </c:val>
              </c15:ser>
            </c15:filteredBarSeries>
          </c:ext>
        </c:extLst>
      </c:barChart>
      <c:catAx>
        <c:axId val="71466498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14664264"/>
        <c:crosses val="autoZero"/>
        <c:auto val="1"/>
        <c:lblAlgn val="ctr"/>
        <c:lblOffset val="100"/>
        <c:tickLblSkip val="1"/>
        <c:noMultiLvlLbl val="0"/>
      </c:catAx>
      <c:valAx>
        <c:axId val="714664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effectLst/>
                  </a:rPr>
                  <a:t>𝑚 (cm/hr)</a:t>
                </a: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14664984"/>
        <c:crosses val="autoZero"/>
        <c:crossBetween val="between"/>
        <c:majorUnit val="0.05"/>
      </c:valAx>
      <c:spPr>
        <a:noFill/>
        <a:ln>
          <a:noFill/>
        </a:ln>
        <a:effectLst/>
      </c:spPr>
    </c:plotArea>
    <c:plotVisOnly val="1"/>
    <c:dispBlanksAs val="gap"/>
    <c:showDLblsOverMax val="0"/>
    <c:extLst>
      <c:ext uri="{0b15fc19-7d7d-44ad-8c2d-2c3a37ce22c3}">
        <chartProps xmlns="https://web.wps.cn/et/2018/main" chartId="{446411fe-54af-4fc5-a784-7067edbeab55}"/>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 4_3'!$C$1</c:f>
              <c:strCache>
                <c:ptCount val="1"/>
                <c:pt idx="0">
                  <c:v>kh</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4_3'!$C$2:$C$24</c:f>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ser>
        <c:dLbls>
          <c:showLegendKey val="0"/>
          <c:showVal val="0"/>
          <c:showCatName val="0"/>
          <c:showSerName val="0"/>
          <c:showPercent val="0"/>
          <c:showBubbleSize val="0"/>
        </c:dLbls>
        <c:gapWidth val="219"/>
        <c:overlap val="-27"/>
        <c:axId val="1389295112"/>
        <c:axId val="1389294752"/>
      </c:barChart>
      <c:catAx>
        <c:axId val="138929511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9294752"/>
        <c:crosses val="autoZero"/>
        <c:auto val="1"/>
        <c:lblAlgn val="ctr"/>
        <c:lblOffset val="100"/>
        <c:tickLblSkip val="1"/>
        <c:noMultiLvlLbl val="0"/>
      </c:catAx>
      <c:valAx>
        <c:axId val="1389294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kh (min-1 )</a:t>
                </a: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9295112"/>
        <c:crosses val="autoZero"/>
        <c:crossBetween val="between"/>
        <c:majorUnit val="0.5"/>
      </c:valAx>
      <c:spPr>
        <a:noFill/>
        <a:ln>
          <a:noFill/>
        </a:ln>
        <a:effectLst/>
      </c:spPr>
    </c:plotArea>
    <c:plotVisOnly val="1"/>
    <c:dispBlanksAs val="gap"/>
    <c:showDLblsOverMax val="0"/>
    <c:extLst>
      <c:ext uri="{0b15fc19-7d7d-44ad-8c2d-2c3a37ce22c3}">
        <chartProps xmlns="https://web.wps.cn/et/2018/main" chartId="{358e004c-72fd-4766-979d-12bb37886398}"/>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'F 4_3'!$D$1</c:f>
              <c:strCache>
                <c:ptCount val="1"/>
                <c:pt idx="0">
                  <c:v>fo</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4_3'!$D$2:$D$24</c:f>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ser>
        <c:dLbls>
          <c:showLegendKey val="0"/>
          <c:showVal val="0"/>
          <c:showCatName val="0"/>
          <c:showSerName val="0"/>
          <c:showPercent val="0"/>
          <c:showBubbleSize val="0"/>
        </c:dLbls>
        <c:gapWidth val="219"/>
        <c:overlap val="-27"/>
        <c:axId val="1386892096"/>
        <c:axId val="1386894256"/>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ext>
        </c:extLst>
      </c:barChart>
      <c:catAx>
        <c:axId val="1386892096"/>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6894256"/>
        <c:crosses val="autoZero"/>
        <c:auto val="1"/>
        <c:lblAlgn val="ctr"/>
        <c:lblOffset val="100"/>
        <c:tickLblSkip val="1"/>
        <c:noMultiLvlLbl val="0"/>
      </c:catAx>
      <c:valAx>
        <c:axId val="1386894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fo </a:t>
                </a:r>
                <a:r>
                  <a:rPr lang="en-US" sz="600" b="0" i="0" u="none" strike="noStrike" kern="1200" baseline="0">
                    <a:solidFill>
                      <a:sysClr val="windowText" lastClr="000000">
                        <a:lumMod val="65000"/>
                        <a:lumOff val="35000"/>
                      </a:sysClr>
                    </a:solidFill>
                    <a:effectLst/>
                  </a:rPr>
                  <a:t>(cm/hr)</a:t>
                </a: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6892096"/>
        <c:crosses val="autoZero"/>
        <c:crossBetween val="between"/>
        <c:majorUnit val="0.25"/>
      </c:valAx>
      <c:spPr>
        <a:noFill/>
        <a:ln>
          <a:noFill/>
        </a:ln>
        <a:effectLst/>
      </c:spPr>
    </c:plotArea>
    <c:plotVisOnly val="1"/>
    <c:dispBlanksAs val="gap"/>
    <c:showDLblsOverMax val="0"/>
    <c:extLst>
      <c:ext uri="{0b15fc19-7d7d-44ad-8c2d-2c3a37ce22c3}">
        <chartProps xmlns="https://web.wps.cn/et/2018/main" chartId="{f3559665-0a98-4cbc-9f99-d82a7f942b1d}"/>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'F 4_3'!$E$1</c:f>
              <c:strCache>
                <c:ptCount val="1"/>
                <c:pt idx="0">
                  <c:v>fc</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4_3'!$E$2:$E$24</c:f>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ser>
        <c:dLbls>
          <c:showLegendKey val="0"/>
          <c:showVal val="0"/>
          <c:showCatName val="0"/>
          <c:showSerName val="0"/>
          <c:showPercent val="0"/>
          <c:showBubbleSize val="0"/>
        </c:dLbls>
        <c:gapWidth val="219"/>
        <c:overlap val="-27"/>
        <c:axId val="1389296552"/>
        <c:axId val="1389296912"/>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ext>
        </c:extLst>
      </c:barChart>
      <c:catAx>
        <c:axId val="138929655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9296912"/>
        <c:crosses val="autoZero"/>
        <c:auto val="1"/>
        <c:lblAlgn val="ctr"/>
        <c:lblOffset val="100"/>
        <c:tickLblSkip val="1"/>
        <c:noMultiLvlLbl val="0"/>
      </c:catAx>
      <c:valAx>
        <c:axId val="1389296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fc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9296552"/>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489f40e9-0561-481a-977f-e826902c28df}"/>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tx>
            <c:strRef>
              <c:f>'F 4_3'!$F$1</c:f>
              <c:strCache>
                <c:ptCount val="1"/>
                <c:pt idx="0">
                  <c:v>s</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4_3'!$F$2:$F$24</c:f>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ser>
        <c:dLbls>
          <c:showLegendKey val="0"/>
          <c:showVal val="0"/>
          <c:showCatName val="0"/>
          <c:showSerName val="0"/>
          <c:showPercent val="0"/>
          <c:showBubbleSize val="0"/>
        </c:dLbls>
        <c:gapWidth val="219"/>
        <c:overlap val="-27"/>
        <c:axId val="717326696"/>
        <c:axId val="717328856"/>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ext>
        </c:extLst>
      </c:barChart>
      <c:catAx>
        <c:axId val="717326696"/>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17328856"/>
        <c:crosses val="autoZero"/>
        <c:auto val="1"/>
        <c:lblAlgn val="ctr"/>
        <c:lblOffset val="100"/>
        <c:tickLblSkip val="1"/>
        <c:noMultiLvlLbl val="0"/>
      </c:catAx>
      <c:valAx>
        <c:axId val="717328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r>
                  <a:rPr lang="en-US" sz="600" b="0" i="0" u="none" strike="noStrike" kern="1200" baseline="0">
                    <a:solidFill>
                      <a:sysClr val="windowText" lastClr="000000">
                        <a:lumMod val="65000"/>
                        <a:lumOff val="35000"/>
                      </a:sysClr>
                    </a:solidFill>
                  </a:rPr>
                  <a:t>s (</a:t>
                </a:r>
                <a:r>
                  <a:rPr lang="en-US" sz="600" b="0" i="0" u="none" strike="noStrike" kern="1200" baseline="0">
                    <a:solidFill>
                      <a:sysClr val="windowText" lastClr="000000">
                        <a:lumMod val="65000"/>
                        <a:lumOff val="35000"/>
                      </a:sysClr>
                    </a:solidFill>
                    <a:effectLst/>
                  </a:rPr>
                  <a:t>cm/hr</a:t>
                </a:r>
                <a:r>
                  <a:rPr lang="en-US" sz="600" b="0" i="0" u="none" strike="noStrike" kern="1200" baseline="30000">
                    <a:solidFill>
                      <a:sysClr val="windowText" lastClr="000000">
                        <a:lumMod val="65000"/>
                        <a:lumOff val="35000"/>
                      </a:sysClr>
                    </a:solidFill>
                    <a:effectLst/>
                  </a:rPr>
                  <a:t>0.5</a:t>
                </a:r>
                <a:r>
                  <a:rPr lang="en-US" sz="600" b="0" i="0" u="none" strike="noStrike" kern="1200" baseline="0">
                    <a:solidFill>
                      <a:sysClr val="windowText" lastClr="000000">
                        <a:lumMod val="65000"/>
                        <a:lumOff val="35000"/>
                      </a:sysClr>
                    </a:solidFill>
                  </a:rPr>
                  <a:t>)</a:t>
                </a:r>
                <a:endParaRPr lang="en-US" sz="600" b="0" i="0" u="none" strike="noStrike" kern="120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defRPr lang="zh-CN" sz="600" b="0" i="0" u="none" strike="noStrike" kern="1200" baseline="0">
                    <a:solidFill>
                      <a:sysClr val="windowText" lastClr="000000">
                        <a:lumMod val="65000"/>
                        <a:lumOff val="35000"/>
                      </a:sysClr>
                    </a:solidFill>
                    <a:latin typeface="+mn-lt"/>
                    <a:ea typeface="+mn-ea"/>
                    <a:cs typeface="+mn-cs"/>
                  </a:defRPr>
                </a:pP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17326696"/>
        <c:crosses val="autoZero"/>
        <c:crossBetween val="between"/>
        <c:majorUnit val="0.25"/>
      </c:valAx>
      <c:spPr>
        <a:noFill/>
        <a:ln>
          <a:noFill/>
        </a:ln>
        <a:effectLst/>
      </c:spPr>
    </c:plotArea>
    <c:plotVisOnly val="1"/>
    <c:dispBlanksAs val="gap"/>
    <c:showDLblsOverMax val="0"/>
    <c:extLst>
      <c:ext uri="{0b15fc19-7d7d-44ad-8c2d-2c3a37ce22c3}">
        <chartProps xmlns="https://web.wps.cn/et/2018/main" chartId="{34ed9677-0c5f-4fcb-a105-00dc87761b38}"/>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4"/>
          <c:tx>
            <c:strRef>
              <c:f>'F 4_3'!$G$1</c:f>
              <c:strCache>
                <c:ptCount val="1"/>
                <c:pt idx="0">
                  <c:v>k</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4_3'!$G$2:$G$24</c:f>
              <c:numCache>
                <c:formatCode>General</c:formatCode>
                <c:ptCount val="23"/>
                <c:pt idx="0">
                  <c:v>0.119</c:v>
                </c:pt>
                <c:pt idx="1">
                  <c:v>0.277</c:v>
                </c:pt>
                <c:pt idx="2">
                  <c:v>0.122</c:v>
                </c:pt>
                <c:pt idx="3">
                  <c:v>0.171</c:v>
                </c:pt>
                <c:pt idx="4">
                  <c:v>0.011</c:v>
                </c:pt>
                <c:pt idx="5">
                  <c:v>0.215</c:v>
                </c:pt>
                <c:pt idx="6">
                  <c:v>0.279</c:v>
                </c:pt>
                <c:pt idx="7">
                  <c:v>0.053</c:v>
                </c:pt>
                <c:pt idx="8">
                  <c:v>0.43</c:v>
                </c:pt>
                <c:pt idx="9">
                  <c:v>0.291</c:v>
                </c:pt>
                <c:pt idx="10">
                  <c:v>0.122</c:v>
                </c:pt>
                <c:pt idx="11">
                  <c:v>0.245</c:v>
                </c:pt>
                <c:pt idx="12">
                  <c:v>0.351</c:v>
                </c:pt>
                <c:pt idx="13">
                  <c:v>0.128</c:v>
                </c:pt>
                <c:pt idx="14">
                  <c:v>0.023</c:v>
                </c:pt>
                <c:pt idx="15">
                  <c:v>0.023</c:v>
                </c:pt>
                <c:pt idx="16">
                  <c:v>0.011</c:v>
                </c:pt>
                <c:pt idx="17">
                  <c:v>0.016</c:v>
                </c:pt>
                <c:pt idx="18">
                  <c:v>0.016</c:v>
                </c:pt>
                <c:pt idx="19">
                  <c:v>0.129</c:v>
                </c:pt>
                <c:pt idx="20">
                  <c:v>0.626</c:v>
                </c:pt>
                <c:pt idx="21">
                  <c:v>0.615</c:v>
                </c:pt>
                <c:pt idx="22">
                  <c:v>0.23</c:v>
                </c:pt>
              </c:numCache>
            </c:numRef>
          </c:val>
        </c:ser>
        <c:dLbls>
          <c:showLegendKey val="0"/>
          <c:showVal val="0"/>
          <c:showCatName val="0"/>
          <c:showSerName val="0"/>
          <c:showPercent val="0"/>
          <c:showBubbleSize val="0"/>
        </c:dLbls>
        <c:gapWidth val="219"/>
        <c:overlap val="-27"/>
        <c:axId val="1562285632"/>
        <c:axId val="1562284552"/>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15:filteredBarSeries>
              <c15:ser>
                <c:idx val="3"/>
                <c:order val="3"/>
                <c:tx>
                  <c:strRef>
                    <c:extLst>
                      <c:ext uri="{02D57815-91ED-43cb-92C2-25804820EDAC}">
                        <c15:formulaRef>
                          <c15:sqref>'F 4_3'!$F$1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4_3'!$F$2:$F$24</c15:sqref>
                        </c15:formulaRef>
                      </c:ext>
                    </c:extLst>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15:ser>
            </c15:filteredBarSeries>
          </c:ext>
        </c:extLst>
      </c:barChart>
      <c:catAx>
        <c:axId val="156228563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562284552"/>
        <c:crosses val="autoZero"/>
        <c:auto val="1"/>
        <c:lblAlgn val="ctr"/>
        <c:lblOffset val="100"/>
        <c:tickLblSkip val="1"/>
        <c:noMultiLvlLbl val="0"/>
      </c:catAx>
      <c:valAx>
        <c:axId val="1562284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baseline="0">
                    <a:effectLst/>
                  </a:rPr>
                  <a:t>k (cm/hr)</a:t>
                </a: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562285632"/>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8b7ddab8-c762-4158-87cc-93105fdcd1f1}"/>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5"/>
          <c:order val="5"/>
          <c:tx>
            <c:strRef>
              <c:f>'F 4_3'!$H$1</c:f>
              <c:strCache>
                <c:ptCount val="1"/>
                <c:pt idx="0">
                  <c:v>a</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4_3'!$H$2:$H$24</c:f>
              <c:numCache>
                <c:formatCode>General</c:formatCode>
                <c:ptCount val="23"/>
                <c:pt idx="0">
                  <c:v>0.877</c:v>
                </c:pt>
                <c:pt idx="1">
                  <c:v>0.495</c:v>
                </c:pt>
                <c:pt idx="2">
                  <c:v>0.877</c:v>
                </c:pt>
                <c:pt idx="3">
                  <c:v>0.877</c:v>
                </c:pt>
                <c:pt idx="4">
                  <c:v>0.999</c:v>
                </c:pt>
                <c:pt idx="5">
                  <c:v>0.967</c:v>
                </c:pt>
                <c:pt idx="6">
                  <c:v>0.984</c:v>
                </c:pt>
                <c:pt idx="7">
                  <c:v>0.492</c:v>
                </c:pt>
                <c:pt idx="8">
                  <c:v>0.961</c:v>
                </c:pt>
                <c:pt idx="9">
                  <c:v>0.822</c:v>
                </c:pt>
                <c:pt idx="10">
                  <c:v>0.877</c:v>
                </c:pt>
                <c:pt idx="11">
                  <c:v>0.892</c:v>
                </c:pt>
                <c:pt idx="12">
                  <c:v>0.851</c:v>
                </c:pt>
                <c:pt idx="13">
                  <c:v>0.926</c:v>
                </c:pt>
                <c:pt idx="14">
                  <c:v>0.876</c:v>
                </c:pt>
                <c:pt idx="15">
                  <c:v>0.892</c:v>
                </c:pt>
                <c:pt idx="16">
                  <c:v>0.892</c:v>
                </c:pt>
                <c:pt idx="17">
                  <c:v>0.71</c:v>
                </c:pt>
                <c:pt idx="18">
                  <c:v>0.84</c:v>
                </c:pt>
                <c:pt idx="19">
                  <c:v>0.968</c:v>
                </c:pt>
                <c:pt idx="20">
                  <c:v>0.686</c:v>
                </c:pt>
                <c:pt idx="21">
                  <c:v>0.877</c:v>
                </c:pt>
                <c:pt idx="22">
                  <c:v>0.525</c:v>
                </c:pt>
              </c:numCache>
            </c:numRef>
          </c:val>
        </c:ser>
        <c:dLbls>
          <c:showLegendKey val="0"/>
          <c:showVal val="0"/>
          <c:showCatName val="0"/>
          <c:showSerName val="0"/>
          <c:showPercent val="0"/>
          <c:showBubbleSize val="0"/>
        </c:dLbls>
        <c:gapWidth val="219"/>
        <c:overlap val="-27"/>
        <c:axId val="1392057864"/>
        <c:axId val="1392058224"/>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15:filteredBarSeries>
              <c15:ser>
                <c:idx val="3"/>
                <c:order val="3"/>
                <c:tx>
                  <c:strRef>
                    <c:extLst>
                      <c:ext uri="{02D57815-91ED-43cb-92C2-25804820EDAC}">
                        <c15:formulaRef>
                          <c15:sqref>'F 4_3'!$F$1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4_3'!$F$2:$F$24</c15:sqref>
                        </c15:formulaRef>
                      </c:ext>
                    </c:extLst>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15:ser>
            </c15:filteredBarSeries>
            <c15:filteredBarSeries>
              <c15:ser>
                <c:idx val="4"/>
                <c:order val="4"/>
                <c:tx>
                  <c:strRef>
                    <c:extLst>
                      <c:ext uri="{02D57815-91ED-43cb-92C2-25804820EDAC}">
                        <c15:formulaRef>
                          <c15:sqref>'F 4_3'!$G$1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4_3'!$G$2:$G$24</c15:sqref>
                        </c15:formulaRef>
                      </c:ext>
                    </c:extLst>
                    <c:numCache>
                      <c:formatCode>General</c:formatCode>
                      <c:ptCount val="23"/>
                      <c:pt idx="0">
                        <c:v>0.119</c:v>
                      </c:pt>
                      <c:pt idx="1">
                        <c:v>0.277</c:v>
                      </c:pt>
                      <c:pt idx="2">
                        <c:v>0.122</c:v>
                      </c:pt>
                      <c:pt idx="3">
                        <c:v>0.171</c:v>
                      </c:pt>
                      <c:pt idx="4">
                        <c:v>0.011</c:v>
                      </c:pt>
                      <c:pt idx="5">
                        <c:v>0.215</c:v>
                      </c:pt>
                      <c:pt idx="6">
                        <c:v>0.279</c:v>
                      </c:pt>
                      <c:pt idx="7">
                        <c:v>0.053</c:v>
                      </c:pt>
                      <c:pt idx="8">
                        <c:v>0.43</c:v>
                      </c:pt>
                      <c:pt idx="9">
                        <c:v>0.291</c:v>
                      </c:pt>
                      <c:pt idx="10">
                        <c:v>0.122</c:v>
                      </c:pt>
                      <c:pt idx="11">
                        <c:v>0.245</c:v>
                      </c:pt>
                      <c:pt idx="12">
                        <c:v>0.351</c:v>
                      </c:pt>
                      <c:pt idx="13">
                        <c:v>0.128</c:v>
                      </c:pt>
                      <c:pt idx="14">
                        <c:v>0.023</c:v>
                      </c:pt>
                      <c:pt idx="15">
                        <c:v>0.023</c:v>
                      </c:pt>
                      <c:pt idx="16">
                        <c:v>0.011</c:v>
                      </c:pt>
                      <c:pt idx="17">
                        <c:v>0.016</c:v>
                      </c:pt>
                      <c:pt idx="18">
                        <c:v>0.016</c:v>
                      </c:pt>
                      <c:pt idx="19">
                        <c:v>0.129</c:v>
                      </c:pt>
                      <c:pt idx="20">
                        <c:v>0.626</c:v>
                      </c:pt>
                      <c:pt idx="21">
                        <c:v>0.615</c:v>
                      </c:pt>
                      <c:pt idx="22">
                        <c:v>0.23</c:v>
                      </c:pt>
                    </c:numCache>
                  </c:numRef>
                </c:val>
              </c15:ser>
            </c15:filteredBarSeries>
          </c:ext>
        </c:extLst>
      </c:barChart>
      <c:catAx>
        <c:axId val="139205786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2058224"/>
        <c:crosses val="autoZero"/>
        <c:auto val="1"/>
        <c:lblAlgn val="ctr"/>
        <c:lblOffset val="100"/>
        <c:tickLblSkip val="1"/>
        <c:noMultiLvlLbl val="0"/>
      </c:catAx>
      <c:valAx>
        <c:axId val="1392058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spc="0" baseline="0">
                    <a:solidFill>
                      <a:sysClr val="windowText" lastClr="000000">
                        <a:lumMod val="65000"/>
                        <a:lumOff val="35000"/>
                      </a:sysClr>
                    </a:solidFill>
                  </a:rPr>
                  <a:t>a</a:t>
                </a: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2057864"/>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895ee3bd-c5f1-48f9-8434-bf9a583b5c10}"/>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6"/>
          <c:order val="6"/>
          <c:tx>
            <c:strRef>
              <c:f>'F 4_3'!$I$1</c:f>
              <c:strCache>
                <c:ptCount val="1"/>
                <c:pt idx="0">
                  <c:v>b</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4_3'!$I$2:$I$24</c:f>
              <c:numCache>
                <c:formatCode>General</c:formatCode>
                <c:ptCount val="23"/>
                <c:pt idx="0">
                  <c:v>0.485</c:v>
                </c:pt>
                <c:pt idx="1">
                  <c:v>0.414</c:v>
                </c:pt>
                <c:pt idx="2">
                  <c:v>0.462</c:v>
                </c:pt>
                <c:pt idx="3">
                  <c:v>0.485</c:v>
                </c:pt>
                <c:pt idx="4">
                  <c:v>0.2</c:v>
                </c:pt>
                <c:pt idx="5">
                  <c:v>0.511</c:v>
                </c:pt>
                <c:pt idx="6">
                  <c:v>0.558</c:v>
                </c:pt>
                <c:pt idx="7">
                  <c:v>0.25</c:v>
                </c:pt>
                <c:pt idx="8">
                  <c:v>0.371</c:v>
                </c:pt>
                <c:pt idx="9">
                  <c:v>0.401</c:v>
                </c:pt>
                <c:pt idx="10">
                  <c:v>0.462</c:v>
                </c:pt>
                <c:pt idx="11">
                  <c:v>0.394</c:v>
                </c:pt>
                <c:pt idx="12">
                  <c:v>0.389</c:v>
                </c:pt>
                <c:pt idx="13">
                  <c:v>0.434</c:v>
                </c:pt>
                <c:pt idx="14">
                  <c:v>0.374</c:v>
                </c:pt>
                <c:pt idx="15">
                  <c:v>0.394</c:v>
                </c:pt>
                <c:pt idx="16">
                  <c:v>0.394</c:v>
                </c:pt>
                <c:pt idx="17">
                  <c:v>0.192</c:v>
                </c:pt>
                <c:pt idx="18">
                  <c:v>0.331</c:v>
                </c:pt>
                <c:pt idx="19">
                  <c:v>0.501</c:v>
                </c:pt>
                <c:pt idx="20">
                  <c:v>0.239</c:v>
                </c:pt>
                <c:pt idx="21">
                  <c:v>0.485</c:v>
                </c:pt>
                <c:pt idx="22">
                  <c:v>0.318</c:v>
                </c:pt>
              </c:numCache>
            </c:numRef>
          </c:val>
        </c:ser>
        <c:dLbls>
          <c:showLegendKey val="0"/>
          <c:showVal val="0"/>
          <c:showCatName val="0"/>
          <c:showSerName val="0"/>
          <c:showPercent val="0"/>
          <c:showBubbleSize val="0"/>
        </c:dLbls>
        <c:gapWidth val="219"/>
        <c:overlap val="-27"/>
        <c:axId val="1392056784"/>
        <c:axId val="1385585264"/>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15:filteredBarSeries>
              <c15:ser>
                <c:idx val="3"/>
                <c:order val="3"/>
                <c:tx>
                  <c:strRef>
                    <c:extLst>
                      <c:ext uri="{02D57815-91ED-43cb-92C2-25804820EDAC}">
                        <c15:formulaRef>
                          <c15:sqref>'F 4_3'!$F$1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4_3'!$F$2:$F$24</c15:sqref>
                        </c15:formulaRef>
                      </c:ext>
                    </c:extLst>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15:ser>
            </c15:filteredBarSeries>
            <c15:filteredBarSeries>
              <c15:ser>
                <c:idx val="4"/>
                <c:order val="4"/>
                <c:tx>
                  <c:strRef>
                    <c:extLst>
                      <c:ext uri="{02D57815-91ED-43cb-92C2-25804820EDAC}">
                        <c15:formulaRef>
                          <c15:sqref>'F 4_3'!$G$1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4_3'!$G$2:$G$24</c15:sqref>
                        </c15:formulaRef>
                      </c:ext>
                    </c:extLst>
                    <c:numCache>
                      <c:formatCode>General</c:formatCode>
                      <c:ptCount val="23"/>
                      <c:pt idx="0">
                        <c:v>0.119</c:v>
                      </c:pt>
                      <c:pt idx="1">
                        <c:v>0.277</c:v>
                      </c:pt>
                      <c:pt idx="2">
                        <c:v>0.122</c:v>
                      </c:pt>
                      <c:pt idx="3">
                        <c:v>0.171</c:v>
                      </c:pt>
                      <c:pt idx="4">
                        <c:v>0.011</c:v>
                      </c:pt>
                      <c:pt idx="5">
                        <c:v>0.215</c:v>
                      </c:pt>
                      <c:pt idx="6">
                        <c:v>0.279</c:v>
                      </c:pt>
                      <c:pt idx="7">
                        <c:v>0.053</c:v>
                      </c:pt>
                      <c:pt idx="8">
                        <c:v>0.43</c:v>
                      </c:pt>
                      <c:pt idx="9">
                        <c:v>0.291</c:v>
                      </c:pt>
                      <c:pt idx="10">
                        <c:v>0.122</c:v>
                      </c:pt>
                      <c:pt idx="11">
                        <c:v>0.245</c:v>
                      </c:pt>
                      <c:pt idx="12">
                        <c:v>0.351</c:v>
                      </c:pt>
                      <c:pt idx="13">
                        <c:v>0.128</c:v>
                      </c:pt>
                      <c:pt idx="14">
                        <c:v>0.023</c:v>
                      </c:pt>
                      <c:pt idx="15">
                        <c:v>0.023</c:v>
                      </c:pt>
                      <c:pt idx="16">
                        <c:v>0.011</c:v>
                      </c:pt>
                      <c:pt idx="17">
                        <c:v>0.016</c:v>
                      </c:pt>
                      <c:pt idx="18">
                        <c:v>0.016</c:v>
                      </c:pt>
                      <c:pt idx="19">
                        <c:v>0.129</c:v>
                      </c:pt>
                      <c:pt idx="20">
                        <c:v>0.626</c:v>
                      </c:pt>
                      <c:pt idx="21">
                        <c:v>0.615</c:v>
                      </c:pt>
                      <c:pt idx="22">
                        <c:v>0.23</c:v>
                      </c:pt>
                    </c:numCache>
                  </c:numRef>
                </c:val>
              </c15:ser>
            </c15:filteredBarSeries>
            <c15:filteredBarSeries>
              <c15:ser>
                <c:idx val="5"/>
                <c:order val="5"/>
                <c:tx>
                  <c:strRef>
                    <c:extLst>
                      <c:ext uri="{02D57815-91ED-43cb-92C2-25804820EDAC}">
                        <c15:formulaRef>
                          <c15:sqref>'F 4_3'!$H$1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4_3'!$H$2:$H$24</c15:sqref>
                        </c15:formulaRef>
                      </c:ext>
                    </c:extLst>
                    <c:numCache>
                      <c:formatCode>General</c:formatCode>
                      <c:ptCount val="23"/>
                      <c:pt idx="0">
                        <c:v>0.877</c:v>
                      </c:pt>
                      <c:pt idx="1">
                        <c:v>0.495</c:v>
                      </c:pt>
                      <c:pt idx="2">
                        <c:v>0.877</c:v>
                      </c:pt>
                      <c:pt idx="3">
                        <c:v>0.877</c:v>
                      </c:pt>
                      <c:pt idx="4">
                        <c:v>0.999</c:v>
                      </c:pt>
                      <c:pt idx="5">
                        <c:v>0.967</c:v>
                      </c:pt>
                      <c:pt idx="6">
                        <c:v>0.984</c:v>
                      </c:pt>
                      <c:pt idx="7">
                        <c:v>0.492</c:v>
                      </c:pt>
                      <c:pt idx="8">
                        <c:v>0.961</c:v>
                      </c:pt>
                      <c:pt idx="9">
                        <c:v>0.822</c:v>
                      </c:pt>
                      <c:pt idx="10">
                        <c:v>0.877</c:v>
                      </c:pt>
                      <c:pt idx="11">
                        <c:v>0.892</c:v>
                      </c:pt>
                      <c:pt idx="12">
                        <c:v>0.851</c:v>
                      </c:pt>
                      <c:pt idx="13">
                        <c:v>0.926</c:v>
                      </c:pt>
                      <c:pt idx="14">
                        <c:v>0.876</c:v>
                      </c:pt>
                      <c:pt idx="15">
                        <c:v>0.892</c:v>
                      </c:pt>
                      <c:pt idx="16">
                        <c:v>0.892</c:v>
                      </c:pt>
                      <c:pt idx="17">
                        <c:v>0.71</c:v>
                      </c:pt>
                      <c:pt idx="18">
                        <c:v>0.84</c:v>
                      </c:pt>
                      <c:pt idx="19">
                        <c:v>0.968</c:v>
                      </c:pt>
                      <c:pt idx="20">
                        <c:v>0.686</c:v>
                      </c:pt>
                      <c:pt idx="21">
                        <c:v>0.877</c:v>
                      </c:pt>
                      <c:pt idx="22">
                        <c:v>0.525</c:v>
                      </c:pt>
                    </c:numCache>
                  </c:numRef>
                </c:val>
              </c15:ser>
            </c15:filteredBarSeries>
          </c:ext>
        </c:extLst>
      </c:barChart>
      <c:catAx>
        <c:axId val="1392056784"/>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5585264"/>
        <c:crosses val="autoZero"/>
        <c:auto val="1"/>
        <c:lblAlgn val="ctr"/>
        <c:lblOffset val="100"/>
        <c:tickLblSkip val="1"/>
        <c:noMultiLvlLbl val="0"/>
      </c:catAx>
      <c:valAx>
        <c:axId val="1385585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spc="0" baseline="0">
                    <a:solidFill>
                      <a:sysClr val="windowText" lastClr="000000">
                        <a:lumMod val="65000"/>
                        <a:lumOff val="35000"/>
                      </a:sysClr>
                    </a:solidFill>
                  </a:rPr>
                  <a:t>b</a:t>
                </a:r>
                <a:endParaRPr lang="en-US" sz="600" b="0" i="0" u="none" strike="noStrike" kern="1200" spc="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2056784"/>
        <c:crosses val="autoZero"/>
        <c:crossBetween val="between"/>
        <c:majorUnit val="0.2"/>
      </c:valAx>
      <c:spPr>
        <a:noFill/>
        <a:ln>
          <a:noFill/>
        </a:ln>
        <a:effectLst/>
      </c:spPr>
    </c:plotArea>
    <c:plotVisOnly val="1"/>
    <c:dispBlanksAs val="gap"/>
    <c:showDLblsOverMax val="0"/>
    <c:extLst>
      <c:ext uri="{0b15fc19-7d7d-44ad-8c2d-2c3a37ce22c3}">
        <chartProps xmlns="https://web.wps.cn/et/2018/main" chartId="{99d26ab5-4054-4171-84ca-b0a7837943b7}"/>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7"/>
          <c:order val="7"/>
          <c:tx>
            <c:strRef>
              <c:f>'F 4_3'!$J$1</c:f>
              <c:strCache>
                <c:ptCount val="1"/>
                <c:pt idx="0">
                  <c:v>n</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4_3'!$J$2:$J$24</c:f>
              <c:numCache>
                <c:formatCode>General</c:formatCode>
                <c:ptCount val="23"/>
                <c:pt idx="0">
                  <c:v>0.039</c:v>
                </c:pt>
                <c:pt idx="1">
                  <c:v>0.093</c:v>
                </c:pt>
                <c:pt idx="2">
                  <c:v>0.193</c:v>
                </c:pt>
                <c:pt idx="3">
                  <c:v>0.055</c:v>
                </c:pt>
                <c:pt idx="4">
                  <c:v>0.25</c:v>
                </c:pt>
                <c:pt idx="5">
                  <c:v>0.053</c:v>
                </c:pt>
                <c:pt idx="6">
                  <c:v>0.032</c:v>
                </c:pt>
                <c:pt idx="7">
                  <c:v>0.053</c:v>
                </c:pt>
                <c:pt idx="8">
                  <c:v>0.053</c:v>
                </c:pt>
                <c:pt idx="9">
                  <c:v>0.055</c:v>
                </c:pt>
                <c:pt idx="10">
                  <c:v>0.055</c:v>
                </c:pt>
                <c:pt idx="11">
                  <c:v>0.06</c:v>
                </c:pt>
                <c:pt idx="12">
                  <c:v>0.102</c:v>
                </c:pt>
                <c:pt idx="13">
                  <c:v>0.11</c:v>
                </c:pt>
                <c:pt idx="14">
                  <c:v>0.15</c:v>
                </c:pt>
                <c:pt idx="15">
                  <c:v>0.167</c:v>
                </c:pt>
                <c:pt idx="16">
                  <c:v>0.102</c:v>
                </c:pt>
                <c:pt idx="17">
                  <c:v>0.011</c:v>
                </c:pt>
                <c:pt idx="18">
                  <c:v>0.011</c:v>
                </c:pt>
                <c:pt idx="19">
                  <c:v>0.007</c:v>
                </c:pt>
                <c:pt idx="20">
                  <c:v>0.011</c:v>
                </c:pt>
                <c:pt idx="21">
                  <c:v>0.167</c:v>
                </c:pt>
                <c:pt idx="22">
                  <c:v>0.055</c:v>
                </c:pt>
              </c:numCache>
            </c:numRef>
          </c:val>
        </c:ser>
        <c:dLbls>
          <c:showLegendKey val="0"/>
          <c:showVal val="0"/>
          <c:showCatName val="0"/>
          <c:showSerName val="0"/>
          <c:showPercent val="0"/>
          <c:showBubbleSize val="0"/>
        </c:dLbls>
        <c:gapWidth val="219"/>
        <c:overlap val="-27"/>
        <c:axId val="1396030712"/>
        <c:axId val="1396029272"/>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15:filteredBarSeries>
              <c15:ser>
                <c:idx val="3"/>
                <c:order val="3"/>
                <c:tx>
                  <c:strRef>
                    <c:extLst>
                      <c:ext uri="{02D57815-91ED-43cb-92C2-25804820EDAC}">
                        <c15:formulaRef>
                          <c15:sqref>'F 4_3'!$F$1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4_3'!$F$2:$F$24</c15:sqref>
                        </c15:formulaRef>
                      </c:ext>
                    </c:extLst>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15:ser>
            </c15:filteredBarSeries>
            <c15:filteredBarSeries>
              <c15:ser>
                <c:idx val="4"/>
                <c:order val="4"/>
                <c:tx>
                  <c:strRef>
                    <c:extLst>
                      <c:ext uri="{02D57815-91ED-43cb-92C2-25804820EDAC}">
                        <c15:formulaRef>
                          <c15:sqref>'F 4_3'!$G$1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4_3'!$G$2:$G$24</c15:sqref>
                        </c15:formulaRef>
                      </c:ext>
                    </c:extLst>
                    <c:numCache>
                      <c:formatCode>General</c:formatCode>
                      <c:ptCount val="23"/>
                      <c:pt idx="0">
                        <c:v>0.119</c:v>
                      </c:pt>
                      <c:pt idx="1">
                        <c:v>0.277</c:v>
                      </c:pt>
                      <c:pt idx="2">
                        <c:v>0.122</c:v>
                      </c:pt>
                      <c:pt idx="3">
                        <c:v>0.171</c:v>
                      </c:pt>
                      <c:pt idx="4">
                        <c:v>0.011</c:v>
                      </c:pt>
                      <c:pt idx="5">
                        <c:v>0.215</c:v>
                      </c:pt>
                      <c:pt idx="6">
                        <c:v>0.279</c:v>
                      </c:pt>
                      <c:pt idx="7">
                        <c:v>0.053</c:v>
                      </c:pt>
                      <c:pt idx="8">
                        <c:v>0.43</c:v>
                      </c:pt>
                      <c:pt idx="9">
                        <c:v>0.291</c:v>
                      </c:pt>
                      <c:pt idx="10">
                        <c:v>0.122</c:v>
                      </c:pt>
                      <c:pt idx="11">
                        <c:v>0.245</c:v>
                      </c:pt>
                      <c:pt idx="12">
                        <c:v>0.351</c:v>
                      </c:pt>
                      <c:pt idx="13">
                        <c:v>0.128</c:v>
                      </c:pt>
                      <c:pt idx="14">
                        <c:v>0.023</c:v>
                      </c:pt>
                      <c:pt idx="15">
                        <c:v>0.023</c:v>
                      </c:pt>
                      <c:pt idx="16">
                        <c:v>0.011</c:v>
                      </c:pt>
                      <c:pt idx="17">
                        <c:v>0.016</c:v>
                      </c:pt>
                      <c:pt idx="18">
                        <c:v>0.016</c:v>
                      </c:pt>
                      <c:pt idx="19">
                        <c:v>0.129</c:v>
                      </c:pt>
                      <c:pt idx="20">
                        <c:v>0.626</c:v>
                      </c:pt>
                      <c:pt idx="21">
                        <c:v>0.615</c:v>
                      </c:pt>
                      <c:pt idx="22">
                        <c:v>0.23</c:v>
                      </c:pt>
                    </c:numCache>
                  </c:numRef>
                </c:val>
              </c15:ser>
            </c15:filteredBarSeries>
            <c15:filteredBarSeries>
              <c15:ser>
                <c:idx val="5"/>
                <c:order val="5"/>
                <c:tx>
                  <c:strRef>
                    <c:extLst>
                      <c:ext uri="{02D57815-91ED-43cb-92C2-25804820EDAC}">
                        <c15:formulaRef>
                          <c15:sqref>'F 4_3'!$H$1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4_3'!$H$2:$H$24</c15:sqref>
                        </c15:formulaRef>
                      </c:ext>
                    </c:extLst>
                    <c:numCache>
                      <c:formatCode>General</c:formatCode>
                      <c:ptCount val="23"/>
                      <c:pt idx="0">
                        <c:v>0.877</c:v>
                      </c:pt>
                      <c:pt idx="1">
                        <c:v>0.495</c:v>
                      </c:pt>
                      <c:pt idx="2">
                        <c:v>0.877</c:v>
                      </c:pt>
                      <c:pt idx="3">
                        <c:v>0.877</c:v>
                      </c:pt>
                      <c:pt idx="4">
                        <c:v>0.999</c:v>
                      </c:pt>
                      <c:pt idx="5">
                        <c:v>0.967</c:v>
                      </c:pt>
                      <c:pt idx="6">
                        <c:v>0.984</c:v>
                      </c:pt>
                      <c:pt idx="7">
                        <c:v>0.492</c:v>
                      </c:pt>
                      <c:pt idx="8">
                        <c:v>0.961</c:v>
                      </c:pt>
                      <c:pt idx="9">
                        <c:v>0.822</c:v>
                      </c:pt>
                      <c:pt idx="10">
                        <c:v>0.877</c:v>
                      </c:pt>
                      <c:pt idx="11">
                        <c:v>0.892</c:v>
                      </c:pt>
                      <c:pt idx="12">
                        <c:v>0.851</c:v>
                      </c:pt>
                      <c:pt idx="13">
                        <c:v>0.926</c:v>
                      </c:pt>
                      <c:pt idx="14">
                        <c:v>0.876</c:v>
                      </c:pt>
                      <c:pt idx="15">
                        <c:v>0.892</c:v>
                      </c:pt>
                      <c:pt idx="16">
                        <c:v>0.892</c:v>
                      </c:pt>
                      <c:pt idx="17">
                        <c:v>0.71</c:v>
                      </c:pt>
                      <c:pt idx="18">
                        <c:v>0.84</c:v>
                      </c:pt>
                      <c:pt idx="19">
                        <c:v>0.968</c:v>
                      </c:pt>
                      <c:pt idx="20">
                        <c:v>0.686</c:v>
                      </c:pt>
                      <c:pt idx="21">
                        <c:v>0.877</c:v>
                      </c:pt>
                      <c:pt idx="22">
                        <c:v>0.525</c:v>
                      </c:pt>
                    </c:numCache>
                  </c:numRef>
                </c:val>
              </c15:ser>
            </c15:filteredBarSeries>
            <c15:filteredBarSeries>
              <c15:ser>
                <c:idx val="6"/>
                <c:order val="6"/>
                <c:tx>
                  <c:strRef>
                    <c:extLst>
                      <c:ext uri="{02D57815-91ED-43cb-92C2-25804820EDAC}">
                        <c15:formulaRef>
                          <c15:sqref>'F 4_3'!$I$1</c15:sqref>
                        </c15:formulaRef>
                      </c:ext>
                    </c:extLst>
                    <c:strCache>
                      <c:ptCount val="1"/>
                      <c:pt idx="0">
                        <c:v>b</c:v>
                      </c:pt>
                    </c:strCache>
                  </c:strRef>
                </c:tx>
                <c:spPr>
                  <a:solidFill>
                    <a:schemeClr val="accent1">
                      <a:lumMod val="60000"/>
                    </a:schemeClr>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4_3'!$I$2:$I$24</c15:sqref>
                        </c15:formulaRef>
                      </c:ext>
                    </c:extLst>
                    <c:numCache>
                      <c:formatCode>General</c:formatCode>
                      <c:ptCount val="23"/>
                      <c:pt idx="0">
                        <c:v>0.485</c:v>
                      </c:pt>
                      <c:pt idx="1">
                        <c:v>0.414</c:v>
                      </c:pt>
                      <c:pt idx="2">
                        <c:v>0.462</c:v>
                      </c:pt>
                      <c:pt idx="3">
                        <c:v>0.485</c:v>
                      </c:pt>
                      <c:pt idx="4">
                        <c:v>0.2</c:v>
                      </c:pt>
                      <c:pt idx="5">
                        <c:v>0.511</c:v>
                      </c:pt>
                      <c:pt idx="6">
                        <c:v>0.558</c:v>
                      </c:pt>
                      <c:pt idx="7">
                        <c:v>0.25</c:v>
                      </c:pt>
                      <c:pt idx="8">
                        <c:v>0.371</c:v>
                      </c:pt>
                      <c:pt idx="9">
                        <c:v>0.401</c:v>
                      </c:pt>
                      <c:pt idx="10">
                        <c:v>0.462</c:v>
                      </c:pt>
                      <c:pt idx="11">
                        <c:v>0.394</c:v>
                      </c:pt>
                      <c:pt idx="12">
                        <c:v>0.389</c:v>
                      </c:pt>
                      <c:pt idx="13">
                        <c:v>0.434</c:v>
                      </c:pt>
                      <c:pt idx="14">
                        <c:v>0.374</c:v>
                      </c:pt>
                      <c:pt idx="15">
                        <c:v>0.394</c:v>
                      </c:pt>
                      <c:pt idx="16">
                        <c:v>0.394</c:v>
                      </c:pt>
                      <c:pt idx="17">
                        <c:v>0.192</c:v>
                      </c:pt>
                      <c:pt idx="18">
                        <c:v>0.331</c:v>
                      </c:pt>
                      <c:pt idx="19">
                        <c:v>0.501</c:v>
                      </c:pt>
                      <c:pt idx="20">
                        <c:v>0.239</c:v>
                      </c:pt>
                      <c:pt idx="21">
                        <c:v>0.485</c:v>
                      </c:pt>
                      <c:pt idx="22">
                        <c:v>0.318</c:v>
                      </c:pt>
                    </c:numCache>
                  </c:numRef>
                </c:val>
              </c15:ser>
            </c15:filteredBarSeries>
          </c:ext>
        </c:extLst>
      </c:barChart>
      <c:catAx>
        <c:axId val="1396030712"/>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6029272"/>
        <c:crosses val="autoZero"/>
        <c:auto val="1"/>
        <c:lblAlgn val="ctr"/>
        <c:lblOffset val="100"/>
        <c:tickLblSkip val="1"/>
        <c:noMultiLvlLbl val="0"/>
      </c:catAx>
      <c:valAx>
        <c:axId val="1396029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baseline="0">
                    <a:effectLst/>
                  </a:rPr>
                  <a:t>𝑛 (cm</a:t>
                </a:r>
                <a:r>
                  <a:rPr lang="en-US" sz="600" b="0" i="0" u="none" strike="noStrike" baseline="30000">
                    <a:effectLst/>
                  </a:rPr>
                  <a:t>2</a:t>
                </a:r>
                <a:r>
                  <a:rPr lang="en-US" sz="600" b="0" i="0" u="none" strike="noStrike" baseline="0">
                    <a:effectLst/>
                  </a:rPr>
                  <a:t>/hr) </a:t>
                </a: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96030712"/>
        <c:crosses val="autoZero"/>
        <c:crossBetween val="between"/>
        <c:majorUnit val="0.05"/>
      </c:valAx>
      <c:spPr>
        <a:noFill/>
        <a:ln>
          <a:noFill/>
        </a:ln>
        <a:effectLst/>
      </c:spPr>
    </c:plotArea>
    <c:plotVisOnly val="1"/>
    <c:dispBlanksAs val="gap"/>
    <c:showDLblsOverMax val="0"/>
    <c:extLst>
      <c:ext uri="{0b15fc19-7d7d-44ad-8c2d-2c3a37ce22c3}">
        <chartProps xmlns="https://web.wps.cn/et/2018/main" chartId="{574c70af-7763-4deb-9fda-a87178677c32}"/>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8"/>
          <c:order val="8"/>
          <c:tx>
            <c:strRef>
              <c:f>'F 4_3'!$K$1</c:f>
              <c:strCache>
                <c:ptCount val="1"/>
                <c:pt idx="0">
                  <c:v>m</c:v>
                </c:pt>
              </c:strCache>
            </c:strRef>
          </c:tx>
          <c:spPr>
            <a:solidFill>
              <a:schemeClr val="accent4"/>
            </a:solidFill>
            <a:ln>
              <a:noFill/>
            </a:ln>
            <a:effectLst/>
          </c:spPr>
          <c:invertIfNegative val="0"/>
          <c:dLbls>
            <c:delete val="1"/>
          </c:dLbls>
          <c:cat>
            <c:multiLvlStrRef>
              <c:f>'F 4_3'!$A$2:$B$24</c:f>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f>'F 4_3'!$K$2:$K$24</c:f>
              <c:numCache>
                <c:formatCode>General</c:formatCode>
                <c:ptCount val="23"/>
                <c:pt idx="0">
                  <c:v>0.255</c:v>
                </c:pt>
                <c:pt idx="1">
                  <c:v>0.346</c:v>
                </c:pt>
                <c:pt idx="2">
                  <c:v>0.044</c:v>
                </c:pt>
                <c:pt idx="3">
                  <c:v>0.15</c:v>
                </c:pt>
                <c:pt idx="4">
                  <c:v>0.255</c:v>
                </c:pt>
                <c:pt idx="5">
                  <c:v>0.174</c:v>
                </c:pt>
                <c:pt idx="6">
                  <c:v>0.267</c:v>
                </c:pt>
                <c:pt idx="7">
                  <c:v>0.102</c:v>
                </c:pt>
                <c:pt idx="8">
                  <c:v>0.174</c:v>
                </c:pt>
                <c:pt idx="9">
                  <c:v>0.158</c:v>
                </c:pt>
                <c:pt idx="10">
                  <c:v>0.158</c:v>
                </c:pt>
                <c:pt idx="11">
                  <c:v>0.142</c:v>
                </c:pt>
                <c:pt idx="12">
                  <c:v>0.327</c:v>
                </c:pt>
                <c:pt idx="13">
                  <c:v>0.299</c:v>
                </c:pt>
                <c:pt idx="14">
                  <c:v>0.055</c:v>
                </c:pt>
                <c:pt idx="15">
                  <c:v>0.086</c:v>
                </c:pt>
                <c:pt idx="16">
                  <c:v>0.327</c:v>
                </c:pt>
                <c:pt idx="17">
                  <c:v>0.102</c:v>
                </c:pt>
                <c:pt idx="18">
                  <c:v>0.102</c:v>
                </c:pt>
                <c:pt idx="19">
                  <c:v>0.115</c:v>
                </c:pt>
                <c:pt idx="20">
                  <c:v>0.217</c:v>
                </c:pt>
                <c:pt idx="21">
                  <c:v>0.086</c:v>
                </c:pt>
                <c:pt idx="22">
                  <c:v>0.158</c:v>
                </c:pt>
              </c:numCache>
            </c:numRef>
          </c:val>
        </c:ser>
        <c:dLbls>
          <c:showLegendKey val="0"/>
          <c:showVal val="0"/>
          <c:showCatName val="0"/>
          <c:showSerName val="0"/>
          <c:showPercent val="0"/>
          <c:showBubbleSize val="0"/>
        </c:dLbls>
        <c:gapWidth val="219"/>
        <c:overlap val="-27"/>
        <c:axId val="1385526016"/>
        <c:axId val="1385527096"/>
        <c:extLst>
          <c:ext xmlns:c15="http://schemas.microsoft.com/office/drawing/2012/chart" uri="{02D57815-91ED-43cb-92C2-25804820EDAC}">
            <c15:filteredBarSeries>
              <c15:ser>
                <c:idx val="0"/>
                <c:order val="0"/>
                <c:tx>
                  <c:strRef>
                    <c:extLst>
                      <c:ext uri="{02D57815-91ED-43cb-92C2-25804820EDAC}">
                        <c15:formulaRef>
                          <c15:sqref>'F 4_3'!$C$1</c15:sqref>
                        </c15:formulaRef>
                      </c:ext>
                    </c:extLst>
                    <c:strCache>
                      <c:ptCount val="1"/>
                      <c:pt idx="0">
                        <c:v>kh</c:v>
                      </c:pt>
                    </c:strCache>
                  </c:strRef>
                </c:tx>
                <c:spPr>
                  <a:solidFill>
                    <a:schemeClr val="accent1"/>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4_3'!$C$2:$C$24</c15:sqref>
                        </c15:formulaRef>
                      </c:ext>
                    </c:extLst>
                    <c:numCache>
                      <c:formatCode>General</c:formatCode>
                      <c:ptCount val="23"/>
                      <c:pt idx="0">
                        <c:v>1.77</c:v>
                      </c:pt>
                      <c:pt idx="1">
                        <c:v>0.832</c:v>
                      </c:pt>
                      <c:pt idx="2">
                        <c:v>1.348</c:v>
                      </c:pt>
                      <c:pt idx="3">
                        <c:v>1.705</c:v>
                      </c:pt>
                      <c:pt idx="4">
                        <c:v>1.515</c:v>
                      </c:pt>
                      <c:pt idx="5">
                        <c:v>1.348</c:v>
                      </c:pt>
                      <c:pt idx="6">
                        <c:v>1.625</c:v>
                      </c:pt>
                      <c:pt idx="7">
                        <c:v>1.348</c:v>
                      </c:pt>
                      <c:pt idx="8">
                        <c:v>1.014</c:v>
                      </c:pt>
                      <c:pt idx="9">
                        <c:v>0.832</c:v>
                      </c:pt>
                      <c:pt idx="10">
                        <c:v>1.348</c:v>
                      </c:pt>
                      <c:pt idx="11">
                        <c:v>1.601</c:v>
                      </c:pt>
                      <c:pt idx="12">
                        <c:v>1.444</c:v>
                      </c:pt>
                      <c:pt idx="13">
                        <c:v>1.348</c:v>
                      </c:pt>
                      <c:pt idx="14">
                        <c:v>0.599</c:v>
                      </c:pt>
                      <c:pt idx="15">
                        <c:v>1.758</c:v>
                      </c:pt>
                      <c:pt idx="16">
                        <c:v>1.348</c:v>
                      </c:pt>
                      <c:pt idx="17">
                        <c:v>0.209</c:v>
                      </c:pt>
                      <c:pt idx="18">
                        <c:v>0.242</c:v>
                      </c:pt>
                      <c:pt idx="19">
                        <c:v>0.128</c:v>
                      </c:pt>
                      <c:pt idx="20">
                        <c:v>1.043</c:v>
                      </c:pt>
                      <c:pt idx="21">
                        <c:v>0.387</c:v>
                      </c:pt>
                      <c:pt idx="22">
                        <c:v>0.742</c:v>
                      </c:pt>
                    </c:numCache>
                  </c:numRef>
                </c:val>
              </c15:ser>
            </c15:filteredBarSeries>
            <c15:filteredBarSeries>
              <c15:ser>
                <c:idx val="1"/>
                <c:order val="1"/>
                <c:tx>
                  <c:strRef>
                    <c:extLst>
                      <c:ext uri="{02D57815-91ED-43cb-92C2-25804820EDAC}">
                        <c15:formulaRef>
                          <c15:sqref>'F 4_3'!$D$1</c15:sqref>
                        </c15:formulaRef>
                      </c:ext>
                    </c:extLst>
                    <c:strCache>
                      <c:ptCount val="1"/>
                      <c:pt idx="0">
                        <c:v>fo</c:v>
                      </c:pt>
                    </c:strCache>
                  </c:strRef>
                </c:tx>
                <c:spPr>
                  <a:solidFill>
                    <a:schemeClr val="accent2"/>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4_3'!$D$2:$D$24</c15:sqref>
                        </c15:formulaRef>
                      </c:ext>
                    </c:extLst>
                    <c:numCache>
                      <c:formatCode>General</c:formatCode>
                      <c:ptCount val="23"/>
                      <c:pt idx="0">
                        <c:v>0.28</c:v>
                      </c:pt>
                      <c:pt idx="1">
                        <c:v>0.614</c:v>
                      </c:pt>
                      <c:pt idx="2">
                        <c:v>0.382</c:v>
                      </c:pt>
                      <c:pt idx="3">
                        <c:v>0.288</c:v>
                      </c:pt>
                      <c:pt idx="4">
                        <c:v>0.318</c:v>
                      </c:pt>
                      <c:pt idx="5">
                        <c:v>0.382</c:v>
                      </c:pt>
                      <c:pt idx="6">
                        <c:v>0.289</c:v>
                      </c:pt>
                      <c:pt idx="7">
                        <c:v>0.382</c:v>
                      </c:pt>
                      <c:pt idx="8">
                        <c:v>0.726</c:v>
                      </c:pt>
                      <c:pt idx="9">
                        <c:v>0.614</c:v>
                      </c:pt>
                      <c:pt idx="10">
                        <c:v>0.382</c:v>
                      </c:pt>
                      <c:pt idx="11">
                        <c:v>0.391</c:v>
                      </c:pt>
                      <c:pt idx="12">
                        <c:v>0.41</c:v>
                      </c:pt>
                      <c:pt idx="13">
                        <c:v>0.382</c:v>
                      </c:pt>
                      <c:pt idx="14">
                        <c:v>0.4</c:v>
                      </c:pt>
                      <c:pt idx="15">
                        <c:v>0.372</c:v>
                      </c:pt>
                      <c:pt idx="16">
                        <c:v>0.382</c:v>
                      </c:pt>
                      <c:pt idx="17">
                        <c:v>0.54</c:v>
                      </c:pt>
                      <c:pt idx="18">
                        <c:v>0.528</c:v>
                      </c:pt>
                      <c:pt idx="19">
                        <c:v>1.187</c:v>
                      </c:pt>
                      <c:pt idx="20">
                        <c:v>0.585</c:v>
                      </c:pt>
                      <c:pt idx="21">
                        <c:v>0.544</c:v>
                      </c:pt>
                      <c:pt idx="22">
                        <c:v>0.381</c:v>
                      </c:pt>
                    </c:numCache>
                  </c:numRef>
                </c:val>
              </c15:ser>
            </c15:filteredBarSeries>
            <c15:filteredBarSeries>
              <c15:ser>
                <c:idx val="2"/>
                <c:order val="2"/>
                <c:tx>
                  <c:strRef>
                    <c:extLst>
                      <c:ext uri="{02D57815-91ED-43cb-92C2-25804820EDAC}">
                        <c15:formulaRef>
                          <c15:sqref>'F 4_3'!$E$1</c15:sqref>
                        </c15:formulaRef>
                      </c:ext>
                    </c:extLst>
                    <c:strCache>
                      <c:ptCount val="1"/>
                      <c:pt idx="0">
                        <c:v>fc</c:v>
                      </c:pt>
                    </c:strCache>
                  </c:strRef>
                </c:tx>
                <c:spPr>
                  <a:solidFill>
                    <a:schemeClr val="accent3"/>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4_3'!$E$2:$E$24</c15:sqref>
                        </c15:formulaRef>
                      </c:ext>
                    </c:extLst>
                    <c:numCache>
                      <c:formatCode>General</c:formatCode>
                      <c:ptCount val="23"/>
                      <c:pt idx="0">
                        <c:v>0.28</c:v>
                      </c:pt>
                      <c:pt idx="1">
                        <c:v>0.44</c:v>
                      </c:pt>
                      <c:pt idx="2">
                        <c:v>0.36</c:v>
                      </c:pt>
                      <c:pt idx="3">
                        <c:v>0.28</c:v>
                      </c:pt>
                      <c:pt idx="4">
                        <c:v>0.28</c:v>
                      </c:pt>
                      <c:pt idx="5">
                        <c:v>0.36</c:v>
                      </c:pt>
                      <c:pt idx="6">
                        <c:v>0.26</c:v>
                      </c:pt>
                      <c:pt idx="7">
                        <c:v>0.36</c:v>
                      </c:pt>
                      <c:pt idx="8">
                        <c:v>0.64</c:v>
                      </c:pt>
                      <c:pt idx="9">
                        <c:v>0.44</c:v>
                      </c:pt>
                      <c:pt idx="10">
                        <c:v>0.36</c:v>
                      </c:pt>
                      <c:pt idx="11">
                        <c:v>0.38</c:v>
                      </c:pt>
                      <c:pt idx="12">
                        <c:v>0.38</c:v>
                      </c:pt>
                      <c:pt idx="13">
                        <c:v>0.36</c:v>
                      </c:pt>
                      <c:pt idx="14">
                        <c:v>0.35</c:v>
                      </c:pt>
                      <c:pt idx="15">
                        <c:v>0.36</c:v>
                      </c:pt>
                      <c:pt idx="16">
                        <c:v>0.36</c:v>
                      </c:pt>
                      <c:pt idx="17">
                        <c:v>0.24</c:v>
                      </c:pt>
                      <c:pt idx="18">
                        <c:v>0.28</c:v>
                      </c:pt>
                      <c:pt idx="19">
                        <c:v>0.6</c:v>
                      </c:pt>
                      <c:pt idx="20">
                        <c:v>0.48</c:v>
                      </c:pt>
                      <c:pt idx="21">
                        <c:v>0.36</c:v>
                      </c:pt>
                      <c:pt idx="22">
                        <c:v>0.36</c:v>
                      </c:pt>
                    </c:numCache>
                  </c:numRef>
                </c:val>
              </c15:ser>
            </c15:filteredBarSeries>
            <c15:filteredBarSeries>
              <c15:ser>
                <c:idx val="3"/>
                <c:order val="3"/>
                <c:tx>
                  <c:strRef>
                    <c:extLst>
                      <c:ext uri="{02D57815-91ED-43cb-92C2-25804820EDAC}">
                        <c15:formulaRef>
                          <c15:sqref>'F 4_3'!$F$1</c15:sqref>
                        </c15:formulaRef>
                      </c:ext>
                    </c:extLst>
                    <c:strCache>
                      <c:ptCount val="1"/>
                      <c:pt idx="0">
                        <c:v>s</c:v>
                      </c:pt>
                    </c:strCache>
                  </c:strRef>
                </c:tx>
                <c:spPr>
                  <a:solidFill>
                    <a:schemeClr val="accent4"/>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4_3'!$F$2:$F$24</c15:sqref>
                        </c15:formulaRef>
                      </c:ext>
                    </c:extLst>
                    <c:numCache>
                      <c:formatCode>General</c:formatCode>
                      <c:ptCount val="23"/>
                      <c:pt idx="0">
                        <c:v>0.52</c:v>
                      </c:pt>
                      <c:pt idx="1">
                        <c:v>0.657</c:v>
                      </c:pt>
                      <c:pt idx="2">
                        <c:v>0.361</c:v>
                      </c:pt>
                      <c:pt idx="3">
                        <c:v>0.354</c:v>
                      </c:pt>
                      <c:pt idx="4">
                        <c:v>1.194</c:v>
                      </c:pt>
                      <c:pt idx="5">
                        <c:v>0.201</c:v>
                      </c:pt>
                      <c:pt idx="6">
                        <c:v>0.199</c:v>
                      </c:pt>
                      <c:pt idx="7">
                        <c:v>0.616</c:v>
                      </c:pt>
                      <c:pt idx="8">
                        <c:v>0.041</c:v>
                      </c:pt>
                      <c:pt idx="9">
                        <c:v>0.122</c:v>
                      </c:pt>
                      <c:pt idx="10">
                        <c:v>0.361</c:v>
                      </c:pt>
                      <c:pt idx="11">
                        <c:v>0.061</c:v>
                      </c:pt>
                      <c:pt idx="12">
                        <c:v>0.023</c:v>
                      </c:pt>
                      <c:pt idx="13">
                        <c:v>0.718</c:v>
                      </c:pt>
                      <c:pt idx="14">
                        <c:v>0.575</c:v>
                      </c:pt>
                      <c:pt idx="15">
                        <c:v>0.575</c:v>
                      </c:pt>
                      <c:pt idx="16">
                        <c:v>1.013</c:v>
                      </c:pt>
                      <c:pt idx="17">
                        <c:v>0.311</c:v>
                      </c:pt>
                      <c:pt idx="18">
                        <c:v>0.311</c:v>
                      </c:pt>
                      <c:pt idx="19">
                        <c:v>0.108</c:v>
                      </c:pt>
                      <c:pt idx="20">
                        <c:v>0.06</c:v>
                      </c:pt>
                      <c:pt idx="21">
                        <c:v>0.021</c:v>
                      </c:pt>
                      <c:pt idx="22">
                        <c:v>0.041</c:v>
                      </c:pt>
                    </c:numCache>
                  </c:numRef>
                </c:val>
              </c15:ser>
            </c15:filteredBarSeries>
            <c15:filteredBarSeries>
              <c15:ser>
                <c:idx val="4"/>
                <c:order val="4"/>
                <c:tx>
                  <c:strRef>
                    <c:extLst>
                      <c:ext uri="{02D57815-91ED-43cb-92C2-25804820EDAC}">
                        <c15:formulaRef>
                          <c15:sqref>'F 4_3'!$G$1</c15:sqref>
                        </c15:formulaRef>
                      </c:ext>
                    </c:extLst>
                    <c:strCache>
                      <c:ptCount val="1"/>
                      <c:pt idx="0">
                        <c:v>k</c:v>
                      </c:pt>
                    </c:strCache>
                  </c:strRef>
                </c:tx>
                <c:spPr>
                  <a:solidFill>
                    <a:schemeClr val="accent5"/>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4_3'!$G$2:$G$24</c15:sqref>
                        </c15:formulaRef>
                      </c:ext>
                    </c:extLst>
                    <c:numCache>
                      <c:formatCode>General</c:formatCode>
                      <c:ptCount val="23"/>
                      <c:pt idx="0">
                        <c:v>0.119</c:v>
                      </c:pt>
                      <c:pt idx="1">
                        <c:v>0.277</c:v>
                      </c:pt>
                      <c:pt idx="2">
                        <c:v>0.122</c:v>
                      </c:pt>
                      <c:pt idx="3">
                        <c:v>0.171</c:v>
                      </c:pt>
                      <c:pt idx="4">
                        <c:v>0.011</c:v>
                      </c:pt>
                      <c:pt idx="5">
                        <c:v>0.215</c:v>
                      </c:pt>
                      <c:pt idx="6">
                        <c:v>0.279</c:v>
                      </c:pt>
                      <c:pt idx="7">
                        <c:v>0.053</c:v>
                      </c:pt>
                      <c:pt idx="8">
                        <c:v>0.43</c:v>
                      </c:pt>
                      <c:pt idx="9">
                        <c:v>0.291</c:v>
                      </c:pt>
                      <c:pt idx="10">
                        <c:v>0.122</c:v>
                      </c:pt>
                      <c:pt idx="11">
                        <c:v>0.245</c:v>
                      </c:pt>
                      <c:pt idx="12">
                        <c:v>0.351</c:v>
                      </c:pt>
                      <c:pt idx="13">
                        <c:v>0.128</c:v>
                      </c:pt>
                      <c:pt idx="14">
                        <c:v>0.023</c:v>
                      </c:pt>
                      <c:pt idx="15">
                        <c:v>0.023</c:v>
                      </c:pt>
                      <c:pt idx="16">
                        <c:v>0.011</c:v>
                      </c:pt>
                      <c:pt idx="17">
                        <c:v>0.016</c:v>
                      </c:pt>
                      <c:pt idx="18">
                        <c:v>0.016</c:v>
                      </c:pt>
                      <c:pt idx="19">
                        <c:v>0.129</c:v>
                      </c:pt>
                      <c:pt idx="20">
                        <c:v>0.626</c:v>
                      </c:pt>
                      <c:pt idx="21">
                        <c:v>0.615</c:v>
                      </c:pt>
                      <c:pt idx="22">
                        <c:v>0.23</c:v>
                      </c:pt>
                    </c:numCache>
                  </c:numRef>
                </c:val>
              </c15:ser>
            </c15:filteredBarSeries>
            <c15:filteredBarSeries>
              <c15:ser>
                <c:idx val="5"/>
                <c:order val="5"/>
                <c:tx>
                  <c:strRef>
                    <c:extLst>
                      <c:ext uri="{02D57815-91ED-43cb-92C2-25804820EDAC}">
                        <c15:formulaRef>
                          <c15:sqref>'F 4_3'!$H$1</c15:sqref>
                        </c15:formulaRef>
                      </c:ext>
                    </c:extLst>
                    <c:strCache>
                      <c:ptCount val="1"/>
                      <c:pt idx="0">
                        <c:v>a</c:v>
                      </c:pt>
                    </c:strCache>
                  </c:strRef>
                </c:tx>
                <c:spPr>
                  <a:solidFill>
                    <a:schemeClr val="accent6"/>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4_3'!$H$2:$H$24</c15:sqref>
                        </c15:formulaRef>
                      </c:ext>
                    </c:extLst>
                    <c:numCache>
                      <c:formatCode>General</c:formatCode>
                      <c:ptCount val="23"/>
                      <c:pt idx="0">
                        <c:v>0.877</c:v>
                      </c:pt>
                      <c:pt idx="1">
                        <c:v>0.495</c:v>
                      </c:pt>
                      <c:pt idx="2">
                        <c:v>0.877</c:v>
                      </c:pt>
                      <c:pt idx="3">
                        <c:v>0.877</c:v>
                      </c:pt>
                      <c:pt idx="4">
                        <c:v>0.999</c:v>
                      </c:pt>
                      <c:pt idx="5">
                        <c:v>0.967</c:v>
                      </c:pt>
                      <c:pt idx="6">
                        <c:v>0.984</c:v>
                      </c:pt>
                      <c:pt idx="7">
                        <c:v>0.492</c:v>
                      </c:pt>
                      <c:pt idx="8">
                        <c:v>0.961</c:v>
                      </c:pt>
                      <c:pt idx="9">
                        <c:v>0.822</c:v>
                      </c:pt>
                      <c:pt idx="10">
                        <c:v>0.877</c:v>
                      </c:pt>
                      <c:pt idx="11">
                        <c:v>0.892</c:v>
                      </c:pt>
                      <c:pt idx="12">
                        <c:v>0.851</c:v>
                      </c:pt>
                      <c:pt idx="13">
                        <c:v>0.926</c:v>
                      </c:pt>
                      <c:pt idx="14">
                        <c:v>0.876</c:v>
                      </c:pt>
                      <c:pt idx="15">
                        <c:v>0.892</c:v>
                      </c:pt>
                      <c:pt idx="16">
                        <c:v>0.892</c:v>
                      </c:pt>
                      <c:pt idx="17">
                        <c:v>0.71</c:v>
                      </c:pt>
                      <c:pt idx="18">
                        <c:v>0.84</c:v>
                      </c:pt>
                      <c:pt idx="19">
                        <c:v>0.968</c:v>
                      </c:pt>
                      <c:pt idx="20">
                        <c:v>0.686</c:v>
                      </c:pt>
                      <c:pt idx="21">
                        <c:v>0.877</c:v>
                      </c:pt>
                      <c:pt idx="22">
                        <c:v>0.525</c:v>
                      </c:pt>
                    </c:numCache>
                  </c:numRef>
                </c:val>
              </c15:ser>
            </c15:filteredBarSeries>
            <c15:filteredBarSeries>
              <c15:ser>
                <c:idx val="6"/>
                <c:order val="6"/>
                <c:tx>
                  <c:strRef>
                    <c:extLst>
                      <c:ext uri="{02D57815-91ED-43cb-92C2-25804820EDAC}">
                        <c15:formulaRef>
                          <c15:sqref>'F 4_3'!$I$1</c15:sqref>
                        </c15:formulaRef>
                      </c:ext>
                    </c:extLst>
                    <c:strCache>
                      <c:ptCount val="1"/>
                      <c:pt idx="0">
                        <c:v>b</c:v>
                      </c:pt>
                    </c:strCache>
                  </c:strRef>
                </c:tx>
                <c:spPr>
                  <a:solidFill>
                    <a:schemeClr val="accent1">
                      <a:lumMod val="60000"/>
                    </a:schemeClr>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4_3'!$I$2:$I$24</c15:sqref>
                        </c15:formulaRef>
                      </c:ext>
                    </c:extLst>
                    <c:numCache>
                      <c:formatCode>General</c:formatCode>
                      <c:ptCount val="23"/>
                      <c:pt idx="0">
                        <c:v>0.485</c:v>
                      </c:pt>
                      <c:pt idx="1">
                        <c:v>0.414</c:v>
                      </c:pt>
                      <c:pt idx="2">
                        <c:v>0.462</c:v>
                      </c:pt>
                      <c:pt idx="3">
                        <c:v>0.485</c:v>
                      </c:pt>
                      <c:pt idx="4">
                        <c:v>0.2</c:v>
                      </c:pt>
                      <c:pt idx="5">
                        <c:v>0.511</c:v>
                      </c:pt>
                      <c:pt idx="6">
                        <c:v>0.558</c:v>
                      </c:pt>
                      <c:pt idx="7">
                        <c:v>0.25</c:v>
                      </c:pt>
                      <c:pt idx="8">
                        <c:v>0.371</c:v>
                      </c:pt>
                      <c:pt idx="9">
                        <c:v>0.401</c:v>
                      </c:pt>
                      <c:pt idx="10">
                        <c:v>0.462</c:v>
                      </c:pt>
                      <c:pt idx="11">
                        <c:v>0.394</c:v>
                      </c:pt>
                      <c:pt idx="12">
                        <c:v>0.389</c:v>
                      </c:pt>
                      <c:pt idx="13">
                        <c:v>0.434</c:v>
                      </c:pt>
                      <c:pt idx="14">
                        <c:v>0.374</c:v>
                      </c:pt>
                      <c:pt idx="15">
                        <c:v>0.394</c:v>
                      </c:pt>
                      <c:pt idx="16">
                        <c:v>0.394</c:v>
                      </c:pt>
                      <c:pt idx="17">
                        <c:v>0.192</c:v>
                      </c:pt>
                      <c:pt idx="18">
                        <c:v>0.331</c:v>
                      </c:pt>
                      <c:pt idx="19">
                        <c:v>0.501</c:v>
                      </c:pt>
                      <c:pt idx="20">
                        <c:v>0.239</c:v>
                      </c:pt>
                      <c:pt idx="21">
                        <c:v>0.485</c:v>
                      </c:pt>
                      <c:pt idx="22">
                        <c:v>0.318</c:v>
                      </c:pt>
                    </c:numCache>
                  </c:numRef>
                </c:val>
              </c15:ser>
            </c15:filteredBarSeries>
            <c15:filteredBarSeries>
              <c15:ser>
                <c:idx val="7"/>
                <c:order val="7"/>
                <c:tx>
                  <c:strRef>
                    <c:extLst>
                      <c:ext uri="{02D57815-91ED-43cb-92C2-25804820EDAC}">
                        <c15:formulaRef>
                          <c15:sqref>'F 4_3'!$J$1</c15:sqref>
                        </c15:formulaRef>
                      </c:ext>
                    </c:extLst>
                    <c:strCache>
                      <c:ptCount val="1"/>
                      <c:pt idx="0">
                        <c:v>n</c:v>
                      </c:pt>
                    </c:strCache>
                  </c:strRef>
                </c:tx>
                <c:spPr>
                  <a:solidFill>
                    <a:schemeClr val="accent2">
                      <a:lumMod val="60000"/>
                    </a:schemeClr>
                  </a:solidFill>
                  <a:ln>
                    <a:noFill/>
                  </a:ln>
                  <a:effectLst/>
                </c:spPr>
                <c:invertIfNegative val="0"/>
                <c:dLbls>
                  <c:delete val="1"/>
                </c:dLbls>
                <c:cat>
                  <c:multiLvlStrRef>
                    <c:extLst>
                      <c:ext uri="{02D57815-91ED-43cb-92C2-25804820EDAC}">
                        <c15:fullRef>
                          <c15:sqref/>
                        </c15:fullRef>
                        <c15:formulaRef>
                          <c15:sqref>'F 4_3'!$A$2:$B$24</c15:sqref>
                        </c15:formulaRef>
                      </c:ext>
                    </c:extLst>
                    <c:multiLvlStrCache>
                      <c:ptCount val="23"/>
                      <c:lvl>
                        <c:pt idx="0">
                          <c:v>Head upper end </c:v>
                        </c:pt>
                        <c:pt idx="1">
                          <c:v>Head intermediate</c:v>
                        </c:pt>
                        <c:pt idx="2">
                          <c:v>Head lower end</c:v>
                        </c:pt>
                        <c:pt idx="3">
                          <c:v>Middle upper end </c:v>
                        </c:pt>
                        <c:pt idx="4">
                          <c:v>Middle intermediate</c:v>
                        </c:pt>
                        <c:pt idx="5">
                          <c:v>Middle lower end</c:v>
                        </c:pt>
                        <c:pt idx="6">
                          <c:v>Tail upper end </c:v>
                        </c:pt>
                        <c:pt idx="7">
                          <c:v>Tail intermediate</c:v>
                        </c:pt>
                        <c:pt idx="8">
                          <c:v>Tail lower end</c:v>
                        </c:pt>
                        <c:pt idx="9">
                          <c:v>Head intermediate</c:v>
                        </c:pt>
                        <c:pt idx="10">
                          <c:v>Head lower end</c:v>
                        </c:pt>
                        <c:pt idx="11">
                          <c:v>Middle  upper end </c:v>
                        </c:pt>
                        <c:pt idx="12">
                          <c:v>Middle  intermediate</c:v>
                        </c:pt>
                        <c:pt idx="13">
                          <c:v>Middle lower end</c:v>
                        </c:pt>
                        <c:pt idx="14">
                          <c:v>Tail upper end </c:v>
                        </c:pt>
                        <c:pt idx="15">
                          <c:v>Tail intermediate</c:v>
                        </c:pt>
                        <c:pt idx="16">
                          <c:v>Tail lower end</c:v>
                        </c:pt>
                        <c:pt idx="17">
                          <c:v>Head upper end </c:v>
                        </c:pt>
                        <c:pt idx="18">
                          <c:v>Head intermediate</c:v>
                        </c:pt>
                        <c:pt idx="19">
                          <c:v>Head lower end</c:v>
                        </c:pt>
                        <c:pt idx="20">
                          <c:v>Middle upper end </c:v>
                        </c:pt>
                        <c:pt idx="21">
                          <c:v>Middle lower end</c:v>
                        </c:pt>
                        <c:pt idx="22">
                          <c:v>Tail lower end</c:v>
                        </c:pt>
                      </c:lvl>
                      <c:lvl>
                        <c:pt idx="0">
                          <c:v>FC 67/D6/104</c:v>
                        </c:pt>
                        <c:pt idx="9">
                          <c:v>FC 70/D6/104</c:v>
                        </c:pt>
                        <c:pt idx="17">
                          <c:v>FC63/SD1/D6/104</c:v>
                        </c:pt>
                      </c:lvl>
                    </c:multiLvlStrCache>
                  </c:multiLvlStrRef>
                </c:cat>
                <c:val>
                  <c:numRef>
                    <c:extLst>
                      <c:ext uri="{02D57815-91ED-43cb-92C2-25804820EDAC}">
                        <c15:formulaRef>
                          <c15:sqref>'F 4_3'!$J$2:$J$24</c15:sqref>
                        </c15:formulaRef>
                      </c:ext>
                    </c:extLst>
                    <c:numCache>
                      <c:formatCode>General</c:formatCode>
                      <c:ptCount val="23"/>
                      <c:pt idx="0">
                        <c:v>0.039</c:v>
                      </c:pt>
                      <c:pt idx="1">
                        <c:v>0.093</c:v>
                      </c:pt>
                      <c:pt idx="2">
                        <c:v>0.193</c:v>
                      </c:pt>
                      <c:pt idx="3">
                        <c:v>0.055</c:v>
                      </c:pt>
                      <c:pt idx="4">
                        <c:v>0.25</c:v>
                      </c:pt>
                      <c:pt idx="5">
                        <c:v>0.053</c:v>
                      </c:pt>
                      <c:pt idx="6">
                        <c:v>0.032</c:v>
                      </c:pt>
                      <c:pt idx="7">
                        <c:v>0.053</c:v>
                      </c:pt>
                      <c:pt idx="8">
                        <c:v>0.053</c:v>
                      </c:pt>
                      <c:pt idx="9">
                        <c:v>0.055</c:v>
                      </c:pt>
                      <c:pt idx="10">
                        <c:v>0.055</c:v>
                      </c:pt>
                      <c:pt idx="11">
                        <c:v>0.06</c:v>
                      </c:pt>
                      <c:pt idx="12">
                        <c:v>0.102</c:v>
                      </c:pt>
                      <c:pt idx="13">
                        <c:v>0.11</c:v>
                      </c:pt>
                      <c:pt idx="14">
                        <c:v>0.15</c:v>
                      </c:pt>
                      <c:pt idx="15">
                        <c:v>0.167</c:v>
                      </c:pt>
                      <c:pt idx="16">
                        <c:v>0.102</c:v>
                      </c:pt>
                      <c:pt idx="17">
                        <c:v>0.011</c:v>
                      </c:pt>
                      <c:pt idx="18">
                        <c:v>0.011</c:v>
                      </c:pt>
                      <c:pt idx="19">
                        <c:v>0.007</c:v>
                      </c:pt>
                      <c:pt idx="20">
                        <c:v>0.011</c:v>
                      </c:pt>
                      <c:pt idx="21">
                        <c:v>0.167</c:v>
                      </c:pt>
                      <c:pt idx="22">
                        <c:v>0.055</c:v>
                      </c:pt>
                    </c:numCache>
                  </c:numRef>
                </c:val>
              </c15:ser>
            </c15:filteredBarSeries>
          </c:ext>
        </c:extLst>
      </c:barChart>
      <c:catAx>
        <c:axId val="1385526016"/>
        <c:scaling>
          <c:orientation val="minMax"/>
        </c:scaling>
        <c:delete val="0"/>
        <c:axPos val="b"/>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Farm lot location</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5527096"/>
        <c:crosses val="autoZero"/>
        <c:auto val="1"/>
        <c:lblAlgn val="ctr"/>
        <c:lblOffset val="100"/>
        <c:tickLblSkip val="1"/>
        <c:noMultiLvlLbl val="0"/>
      </c:catAx>
      <c:valAx>
        <c:axId val="1385527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baseline="0">
                    <a:effectLst/>
                  </a:rPr>
                  <a:t>𝑚 (cm/hr) </a:t>
                </a:r>
                <a:endParaRPr lang="en-US" sz="600" b="0"/>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1385526016"/>
        <c:crosses val="autoZero"/>
        <c:crossBetween val="between"/>
        <c:majorUnit val="0.1"/>
      </c:valAx>
      <c:spPr>
        <a:noFill/>
        <a:ln>
          <a:noFill/>
        </a:ln>
        <a:effectLst/>
      </c:spPr>
    </c:plotArea>
    <c:plotVisOnly val="1"/>
    <c:dispBlanksAs val="gap"/>
    <c:showDLblsOverMax val="0"/>
    <c:extLst>
      <c:ext uri="{0b15fc19-7d7d-44ad-8c2d-2c3a37ce22c3}">
        <chartProps xmlns="https://web.wps.cn/et/2018/main" chartId="{52650b19-8a37-4ca9-8fdd-a8a07ab47b2d}"/>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scatterChart>
        <c:scatterStyle val="lineMarker"/>
        <c:varyColors val="0"/>
        <c:ser>
          <c:idx val="0"/>
          <c:order val="0"/>
          <c:tx>
            <c:strRef>
              <c:f>Sheet1!$E$3:$E$4</c:f>
              <c:strCache>
                <c:ptCount val="1"/>
                <c:pt idx="0">
                  <c:v>Kostiakov Observed</c:v>
                </c:pt>
              </c:strCache>
            </c:strRef>
          </c:tx>
          <c:spPr>
            <a:ln w="19050" cap="rnd">
              <a:noFill/>
              <a:round/>
            </a:ln>
            <a:effectLst/>
          </c:spPr>
          <c:marker>
            <c:symbol val="circle"/>
            <c:size val="5"/>
            <c:spPr>
              <a:solidFill>
                <a:schemeClr val="accent5"/>
              </a:solidFill>
              <a:ln w="9525">
                <a:solidFill>
                  <a:schemeClr val="accent5"/>
                </a:solidFill>
              </a:ln>
              <a:effectLst/>
            </c:spPr>
          </c:marker>
          <c:dLbls>
            <c:delete val="1"/>
          </c:dLbls>
          <c:trendline>
            <c:spPr>
              <a:ln w="19050" cap="rnd">
                <a:solidFill>
                  <a:schemeClr val="accent5"/>
                </a:solidFill>
                <a:prstDash val="sysDot"/>
              </a:ln>
              <a:effectLst/>
            </c:spPr>
            <c:trendlineType val="linear"/>
            <c:dispRSqr val="0"/>
            <c:dispEq val="0"/>
          </c:trendline>
          <c:trendline>
            <c:spPr>
              <a:ln w="19050" cap="rnd">
                <a:solidFill>
                  <a:schemeClr val="accent5"/>
                </a:solidFill>
                <a:prstDash val="sysDot"/>
              </a:ln>
              <a:effectLst/>
            </c:spPr>
            <c:trendlineType val="linear"/>
            <c:dispRSqr val="0"/>
            <c:dispEq val="0"/>
          </c:trendline>
          <c:xVal>
            <c:numRef>
              <c:f>Sheet1!$D$5:$D$20</c:f>
              <c:numCache>
                <c:formatCode>General</c:formatCode>
                <c:ptCount val="16"/>
                <c:pt idx="0">
                  <c:v>0.378488710116139</c:v>
                </c:pt>
                <c:pt idx="1">
                  <c:v>0.358558879069106</c:v>
                </c:pt>
                <c:pt idx="2">
                  <c:v>0.631926488308233</c:v>
                </c:pt>
                <c:pt idx="3">
                  <c:v>0.323560614917748</c:v>
                </c:pt>
                <c:pt idx="4">
                  <c:v>0.58381470905971</c:v>
                </c:pt>
                <c:pt idx="5">
                  <c:v>0.843291415388703</c:v>
                </c:pt>
                <c:pt idx="6">
                  <c:v>0.444608935732499</c:v>
                </c:pt>
                <c:pt idx="7">
                  <c:v>0.251178849495997</c:v>
                </c:pt>
                <c:pt idx="8">
                  <c:v>0.610117159782705</c:v>
                </c:pt>
                <c:pt idx="9">
                  <c:v>1.46889164380781</c:v>
                </c:pt>
                <c:pt idx="10">
                  <c:v>0.469840414284599</c:v>
                </c:pt>
                <c:pt idx="11">
                  <c:v>1.45287899597677</c:v>
                </c:pt>
                <c:pt idx="12">
                  <c:v>0.500042870723652</c:v>
                </c:pt>
                <c:pt idx="13">
                  <c:v>0.541108039297526</c:v>
                </c:pt>
                <c:pt idx="14">
                  <c:v>0.502465331174669</c:v>
                </c:pt>
                <c:pt idx="15">
                  <c:v>1.14474966725727</c:v>
                </c:pt>
              </c:numCache>
            </c:numRef>
          </c:xVal>
          <c:yVal>
            <c:numRef>
              <c:f>Sheet1!$E$5:$E$20</c:f>
              <c:numCache>
                <c:formatCode>General</c:formatCode>
                <c:ptCount val="16"/>
                <c:pt idx="0">
                  <c:v>0.275</c:v>
                </c:pt>
                <c:pt idx="1">
                  <c:v>0.25</c:v>
                </c:pt>
                <c:pt idx="2">
                  <c:v>0.633333333333333</c:v>
                </c:pt>
                <c:pt idx="3">
                  <c:v>0.333333333333333</c:v>
                </c:pt>
                <c:pt idx="4">
                  <c:v>0.583333333333333</c:v>
                </c:pt>
                <c:pt idx="5">
                  <c:v>0.55</c:v>
                </c:pt>
                <c:pt idx="6">
                  <c:v>0.325</c:v>
                </c:pt>
                <c:pt idx="7">
                  <c:v>0.2</c:v>
                </c:pt>
                <c:pt idx="8">
                  <c:v>0.45</c:v>
                </c:pt>
                <c:pt idx="9">
                  <c:v>1.7</c:v>
                </c:pt>
                <c:pt idx="10">
                  <c:v>0.325</c:v>
                </c:pt>
                <c:pt idx="11">
                  <c:v>1.01666666666667</c:v>
                </c:pt>
                <c:pt idx="12">
                  <c:v>0.4</c:v>
                </c:pt>
                <c:pt idx="13">
                  <c:v>0.466666666666667</c:v>
                </c:pt>
                <c:pt idx="14">
                  <c:v>0.466666666666667</c:v>
                </c:pt>
                <c:pt idx="15">
                  <c:v>1</c:v>
                </c:pt>
              </c:numCache>
            </c:numRef>
          </c:yVal>
          <c:smooth val="0"/>
        </c:ser>
        <c:dLbls>
          <c:showLegendKey val="0"/>
          <c:showVal val="0"/>
          <c:showCatName val="0"/>
          <c:showSerName val="0"/>
          <c:showPercent val="0"/>
          <c:showBubbleSize val="0"/>
        </c:dLbls>
        <c:axId val="683943664"/>
        <c:axId val="683936104"/>
      </c:scatterChart>
      <c:valAx>
        <c:axId val="6839436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Observed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936104"/>
        <c:crosses val="autoZero"/>
        <c:crossBetween val="midCat"/>
      </c:valAx>
      <c:valAx>
        <c:axId val="68393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943664"/>
        <c:crosses val="autoZero"/>
        <c:crossBetween val="midCat"/>
      </c:valAx>
      <c:spPr>
        <a:noFill/>
        <a:ln>
          <a:noFill/>
        </a:ln>
        <a:effectLst/>
      </c:spPr>
    </c:plotArea>
    <c:plotVisOnly val="1"/>
    <c:dispBlanksAs val="gap"/>
    <c:showDLblsOverMax val="0"/>
    <c:extLst>
      <c:ext uri="{0b15fc19-7d7d-44ad-8c2d-2c3a37ce22c3}">
        <chartProps xmlns="https://web.wps.cn/et/2018/main" chartId="{b18183b5-f263-4ba2-b1ae-dcd2bb9ff16b}"/>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scatterChart>
        <c:scatterStyle val="lineMarker"/>
        <c:varyColors val="0"/>
        <c:ser>
          <c:idx val="0"/>
          <c:order val="0"/>
          <c:tx>
            <c:strRef>
              <c:f>Sheet1!$I$3:$I$4</c:f>
              <c:strCache>
                <c:ptCount val="1"/>
                <c:pt idx="0">
                  <c:v>Horton Observed</c:v>
                </c:pt>
              </c:strCache>
            </c:strRef>
          </c:tx>
          <c:spPr>
            <a:ln w="19050" cap="rnd">
              <a:noFill/>
              <a:round/>
            </a:ln>
            <a:effectLst/>
          </c:spPr>
          <c:marker>
            <c:symbol val="circle"/>
            <c:size val="5"/>
            <c:spPr>
              <a:solidFill>
                <a:schemeClr val="accent5"/>
              </a:solidFill>
              <a:ln w="9525">
                <a:solidFill>
                  <a:schemeClr val="accent5"/>
                </a:solidFill>
              </a:ln>
              <a:effectLst/>
            </c:spPr>
          </c:marker>
          <c:dLbls>
            <c:delete val="1"/>
          </c:dLbls>
          <c:trendline>
            <c:spPr>
              <a:ln w="19050" cap="rnd">
                <a:solidFill>
                  <a:schemeClr val="accent5"/>
                </a:solidFill>
                <a:prstDash val="sysDot"/>
              </a:ln>
              <a:effectLst/>
            </c:spPr>
            <c:trendlineType val="linear"/>
            <c:dispRSqr val="0"/>
            <c:dispEq val="0"/>
          </c:trendline>
          <c:xVal>
            <c:numRef>
              <c:f>Sheet1!$H$5:$H$20</c:f>
              <c:numCache>
                <c:formatCode>General</c:formatCode>
                <c:ptCount val="16"/>
                <c:pt idx="0">
                  <c:v>0.568889065335153</c:v>
                </c:pt>
                <c:pt idx="1">
                  <c:v>0.471409791405434</c:v>
                </c:pt>
                <c:pt idx="2">
                  <c:v>0.433391859752767</c:v>
                </c:pt>
                <c:pt idx="3">
                  <c:v>0.672009427743965</c:v>
                </c:pt>
                <c:pt idx="4">
                  <c:v>1.36982372539001</c:v>
                </c:pt>
                <c:pt idx="5">
                  <c:v>0.433391859752767</c:v>
                </c:pt>
                <c:pt idx="6">
                  <c:v>0.540776058646454</c:v>
                </c:pt>
                <c:pt idx="7">
                  <c:v>1.36982372539001</c:v>
                </c:pt>
                <c:pt idx="8">
                  <c:v>0.464531024557994</c:v>
                </c:pt>
                <c:pt idx="9">
                  <c:v>0.498301954155965</c:v>
                </c:pt>
                <c:pt idx="10">
                  <c:v>0.498301954155965</c:v>
                </c:pt>
                <c:pt idx="11">
                  <c:v>0.47698612008726</c:v>
                </c:pt>
                <c:pt idx="12">
                  <c:v>0.499993614995706</c:v>
                </c:pt>
                <c:pt idx="13">
                  <c:v>0.672009427743965</c:v>
                </c:pt>
                <c:pt idx="14">
                  <c:v>0.518889065335153</c:v>
                </c:pt>
                <c:pt idx="15">
                  <c:v>0.499993614995706</c:v>
                </c:pt>
              </c:numCache>
            </c:numRef>
          </c:xVal>
          <c:yVal>
            <c:numRef>
              <c:f>Sheet1!$I$5:$I$20</c:f>
              <c:numCache>
                <c:formatCode>General</c:formatCode>
                <c:ptCount val="16"/>
                <c:pt idx="0">
                  <c:v>0.4125</c:v>
                </c:pt>
                <c:pt idx="1">
                  <c:v>0.4125</c:v>
                </c:pt>
                <c:pt idx="2">
                  <c:v>0.3875</c:v>
                </c:pt>
                <c:pt idx="3">
                  <c:v>0.4375</c:v>
                </c:pt>
                <c:pt idx="4">
                  <c:v>0.8</c:v>
                </c:pt>
                <c:pt idx="5">
                  <c:v>0.3875</c:v>
                </c:pt>
                <c:pt idx="6">
                  <c:v>0.375</c:v>
                </c:pt>
                <c:pt idx="7">
                  <c:v>0.8</c:v>
                </c:pt>
                <c:pt idx="8">
                  <c:v>0.375</c:v>
                </c:pt>
                <c:pt idx="9">
                  <c:v>0.3875</c:v>
                </c:pt>
                <c:pt idx="10">
                  <c:v>0.4125</c:v>
                </c:pt>
                <c:pt idx="11">
                  <c:v>0.375</c:v>
                </c:pt>
                <c:pt idx="12">
                  <c:v>0.5</c:v>
                </c:pt>
                <c:pt idx="13">
                  <c:v>0.6</c:v>
                </c:pt>
                <c:pt idx="14">
                  <c:v>0.533</c:v>
                </c:pt>
                <c:pt idx="15">
                  <c:v>0.5</c:v>
                </c:pt>
              </c:numCache>
            </c:numRef>
          </c:yVal>
          <c:smooth val="0"/>
        </c:ser>
        <c:dLbls>
          <c:showLegendKey val="0"/>
          <c:showVal val="0"/>
          <c:showCatName val="0"/>
          <c:showSerName val="0"/>
          <c:showPercent val="0"/>
          <c:showBubbleSize val="0"/>
        </c:dLbls>
        <c:axId val="683884984"/>
        <c:axId val="683886064"/>
      </c:scatterChart>
      <c:valAx>
        <c:axId val="6838849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886064"/>
        <c:crosses val="autoZero"/>
        <c:crossBetween val="midCat"/>
      </c:valAx>
      <c:valAx>
        <c:axId val="683886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884984"/>
        <c:crosses val="autoZero"/>
        <c:crossBetween val="midCat"/>
      </c:valAx>
      <c:spPr>
        <a:noFill/>
        <a:ln>
          <a:noFill/>
        </a:ln>
        <a:effectLst/>
      </c:spPr>
    </c:plotArea>
    <c:plotVisOnly val="1"/>
    <c:dispBlanksAs val="gap"/>
    <c:showDLblsOverMax val="0"/>
    <c:extLst>
      <c:ext uri="{0b15fc19-7d7d-44ad-8c2d-2c3a37ce22c3}">
        <chartProps xmlns="https://web.wps.cn/et/2018/main" chartId="{8908c3c8-5db2-4936-b3d7-520e00549f62}"/>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scatterChart>
        <c:scatterStyle val="lineMarker"/>
        <c:varyColors val="0"/>
        <c:ser>
          <c:idx val="0"/>
          <c:order val="0"/>
          <c:tx>
            <c:strRef>
              <c:f>Sheet1!$G$3:$G$4</c:f>
              <c:strCache>
                <c:ptCount val="1"/>
                <c:pt idx="0">
                  <c:v>Philip Observed</c:v>
                </c:pt>
              </c:strCache>
            </c:strRef>
          </c:tx>
          <c:spPr>
            <a:ln w="19050" cap="rnd">
              <a:noFill/>
              <a:round/>
            </a:ln>
            <a:effectLst/>
          </c:spPr>
          <c:marker>
            <c:symbol val="circle"/>
            <c:size val="5"/>
            <c:spPr>
              <a:solidFill>
                <a:schemeClr val="accent5"/>
              </a:solidFill>
              <a:ln w="9525">
                <a:solidFill>
                  <a:schemeClr val="accent5"/>
                </a:solidFill>
              </a:ln>
              <a:effectLst/>
            </c:spPr>
          </c:marker>
          <c:dLbls>
            <c:delete val="1"/>
          </c:dLbls>
          <c:trendline>
            <c:spPr>
              <a:ln w="19050" cap="rnd">
                <a:solidFill>
                  <a:schemeClr val="accent5"/>
                </a:solidFill>
                <a:prstDash val="sysDot"/>
              </a:ln>
              <a:effectLst/>
            </c:spPr>
            <c:trendlineType val="linear"/>
            <c:dispRSqr val="0"/>
            <c:dispEq val="0"/>
          </c:trendline>
          <c:xVal>
            <c:numRef>
              <c:f>Sheet1!$F$5:$F$20</c:f>
              <c:numCache>
                <c:formatCode>General</c:formatCode>
                <c:ptCount val="16"/>
                <c:pt idx="0">
                  <c:v>0.275029777325261</c:v>
                </c:pt>
                <c:pt idx="1">
                  <c:v>0.275096317088348</c:v>
                </c:pt>
                <c:pt idx="2">
                  <c:v>0.556765167520986</c:v>
                </c:pt>
                <c:pt idx="3">
                  <c:v>0.300028841009717</c:v>
                </c:pt>
                <c:pt idx="4">
                  <c:v>0.533284909941263</c:v>
                </c:pt>
                <c:pt idx="5">
                  <c:v>0.699999599927819</c:v>
                </c:pt>
                <c:pt idx="6">
                  <c:v>0.333411089777611</c:v>
                </c:pt>
                <c:pt idx="7">
                  <c:v>0.549987403677108</c:v>
                </c:pt>
                <c:pt idx="8">
                  <c:v>0.42499106783598</c:v>
                </c:pt>
                <c:pt idx="9">
                  <c:v>0.750059554650521</c:v>
                </c:pt>
                <c:pt idx="10">
                  <c:v>0.343758133431027</c:v>
                </c:pt>
                <c:pt idx="11">
                  <c:v>0.999948112832336</c:v>
                </c:pt>
                <c:pt idx="12">
                  <c:v>0.475007439490955</c:v>
                </c:pt>
                <c:pt idx="13">
                  <c:v>0.599949991681324</c:v>
                </c:pt>
                <c:pt idx="14">
                  <c:v>0.533363759269656</c:v>
                </c:pt>
                <c:pt idx="15">
                  <c:v>0.466944190443778</c:v>
                </c:pt>
              </c:numCache>
            </c:numRef>
          </c:xVal>
          <c:yVal>
            <c:numRef>
              <c:f>Sheet1!$G$5:$G$20</c:f>
              <c:numCache>
                <c:formatCode>General</c:formatCode>
                <c:ptCount val="16"/>
                <c:pt idx="0">
                  <c:v>0.275</c:v>
                </c:pt>
                <c:pt idx="1">
                  <c:v>0.275</c:v>
                </c:pt>
                <c:pt idx="2">
                  <c:v>0.566666666666667</c:v>
                </c:pt>
                <c:pt idx="3">
                  <c:v>0.3</c:v>
                </c:pt>
                <c:pt idx="4">
                  <c:v>0.533333333333333</c:v>
                </c:pt>
                <c:pt idx="5">
                  <c:v>0.7</c:v>
                </c:pt>
                <c:pt idx="6">
                  <c:v>0.35</c:v>
                </c:pt>
                <c:pt idx="7">
                  <c:v>0.55</c:v>
                </c:pt>
                <c:pt idx="8">
                  <c:v>0.425</c:v>
                </c:pt>
                <c:pt idx="9">
                  <c:v>0.75</c:v>
                </c:pt>
                <c:pt idx="10">
                  <c:v>0.34375</c:v>
                </c:pt>
                <c:pt idx="11">
                  <c:v>1</c:v>
                </c:pt>
                <c:pt idx="12">
                  <c:v>0.475</c:v>
                </c:pt>
                <c:pt idx="13">
                  <c:v>0.6</c:v>
                </c:pt>
                <c:pt idx="14">
                  <c:v>0.533333333333333</c:v>
                </c:pt>
                <c:pt idx="15">
                  <c:v>0.5</c:v>
                </c:pt>
              </c:numCache>
            </c:numRef>
          </c:yVal>
          <c:smooth val="0"/>
        </c:ser>
        <c:dLbls>
          <c:showLegendKey val="0"/>
          <c:showVal val="0"/>
          <c:showCatName val="0"/>
          <c:showSerName val="0"/>
          <c:showPercent val="0"/>
          <c:showBubbleSize val="0"/>
        </c:dLbls>
        <c:axId val="683829904"/>
        <c:axId val="683825224"/>
      </c:scatterChart>
      <c:valAx>
        <c:axId val="683829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825224"/>
        <c:crosses val="autoZero"/>
        <c:crossBetween val="midCat"/>
      </c:valAx>
      <c:valAx>
        <c:axId val="683825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683829904"/>
        <c:crosses val="autoZero"/>
        <c:crossBetween val="midCat"/>
      </c:valAx>
      <c:spPr>
        <a:noFill/>
        <a:ln>
          <a:noFill/>
        </a:ln>
        <a:effectLst/>
      </c:spPr>
    </c:plotArea>
    <c:plotVisOnly val="1"/>
    <c:dispBlanksAs val="gap"/>
    <c:showDLblsOverMax val="0"/>
    <c:extLst>
      <c:ext uri="{0b15fc19-7d7d-44ad-8c2d-2c3a37ce22c3}">
        <chartProps xmlns="https://web.wps.cn/et/2018/main" chartId="{57a7e9f6-e729-4862-bf4b-7fba0c09dfe9}"/>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scatterChart>
        <c:scatterStyle val="lineMarker"/>
        <c:varyColors val="0"/>
        <c:ser>
          <c:idx val="0"/>
          <c:order val="0"/>
          <c:tx>
            <c:strRef>
              <c:f>Sheet1!$K$3:$K$4</c:f>
              <c:strCache>
                <c:ptCount val="1"/>
                <c:pt idx="0">
                  <c:v>Green Ampt's Observed</c:v>
                </c:pt>
              </c:strCache>
            </c:strRef>
          </c:tx>
          <c:spPr>
            <a:ln w="19050" cap="rnd">
              <a:noFill/>
              <a:round/>
            </a:ln>
            <a:effectLst/>
          </c:spPr>
          <c:marker>
            <c:symbol val="circle"/>
            <c:size val="5"/>
            <c:spPr>
              <a:solidFill>
                <a:schemeClr val="accent5"/>
              </a:solidFill>
              <a:ln w="9525">
                <a:solidFill>
                  <a:schemeClr val="accent5"/>
                </a:solidFill>
              </a:ln>
              <a:effectLst/>
            </c:spPr>
          </c:marker>
          <c:dLbls>
            <c:delete val="1"/>
          </c:dLbls>
          <c:trendline>
            <c:spPr>
              <a:ln w="19050" cap="rnd">
                <a:solidFill>
                  <a:schemeClr val="accent5"/>
                </a:solidFill>
                <a:prstDash val="sysDot"/>
              </a:ln>
              <a:effectLst/>
            </c:spPr>
            <c:trendlineType val="linear"/>
            <c:dispRSqr val="0"/>
            <c:dispEq val="0"/>
          </c:trendline>
          <c:xVal>
            <c:numRef>
              <c:f>Sheet1!$J$5:$J$20</c:f>
              <c:numCache>
                <c:formatCode>General</c:formatCode>
                <c:ptCount val="16"/>
                <c:pt idx="0">
                  <c:v>0.275126695526696</c:v>
                </c:pt>
                <c:pt idx="1">
                  <c:v>0.275126695526696</c:v>
                </c:pt>
                <c:pt idx="2">
                  <c:v>0.554057728545964</c:v>
                </c:pt>
                <c:pt idx="3">
                  <c:v>0.60007619047619</c:v>
                </c:pt>
                <c:pt idx="4">
                  <c:v>0.5</c:v>
                </c:pt>
                <c:pt idx="5">
                  <c:v>0.499902515479876</c:v>
                </c:pt>
                <c:pt idx="6">
                  <c:v>0.324993269230769</c:v>
                </c:pt>
                <c:pt idx="7">
                  <c:v>0.500083333333333</c:v>
                </c:pt>
                <c:pt idx="8">
                  <c:v>0.525086002886003</c:v>
                </c:pt>
                <c:pt idx="9">
                  <c:v>1.00003551587302</c:v>
                </c:pt>
                <c:pt idx="10">
                  <c:v>0.324976709401709</c:v>
                </c:pt>
                <c:pt idx="11">
                  <c:v>0.999975210084034</c:v>
                </c:pt>
                <c:pt idx="12">
                  <c:v>0.300133333333333</c:v>
                </c:pt>
                <c:pt idx="13">
                  <c:v>0.36693</c:v>
                </c:pt>
                <c:pt idx="14">
                  <c:v>0.449965750915751</c:v>
                </c:pt>
                <c:pt idx="15">
                  <c:v>0.599939316239316</c:v>
                </c:pt>
              </c:numCache>
            </c:numRef>
          </c:xVal>
          <c:yVal>
            <c:numRef>
              <c:f>Sheet1!$K$5:$K$20</c:f>
              <c:numCache>
                <c:formatCode>General</c:formatCode>
                <c:ptCount val="16"/>
                <c:pt idx="0">
                  <c:v>0.275</c:v>
                </c:pt>
                <c:pt idx="1">
                  <c:v>0.275</c:v>
                </c:pt>
                <c:pt idx="2">
                  <c:v>0.55</c:v>
                </c:pt>
                <c:pt idx="3">
                  <c:v>0.6</c:v>
                </c:pt>
                <c:pt idx="4">
                  <c:v>0.5</c:v>
                </c:pt>
                <c:pt idx="5">
                  <c:v>0.5</c:v>
                </c:pt>
                <c:pt idx="6">
                  <c:v>0.325</c:v>
                </c:pt>
                <c:pt idx="7">
                  <c:v>0.5</c:v>
                </c:pt>
                <c:pt idx="8">
                  <c:v>0.525</c:v>
                </c:pt>
                <c:pt idx="9">
                  <c:v>1</c:v>
                </c:pt>
                <c:pt idx="10">
                  <c:v>0.325</c:v>
                </c:pt>
                <c:pt idx="11">
                  <c:v>1</c:v>
                </c:pt>
                <c:pt idx="12">
                  <c:v>0.3</c:v>
                </c:pt>
                <c:pt idx="13">
                  <c:v>0.325</c:v>
                </c:pt>
                <c:pt idx="14">
                  <c:v>0.45</c:v>
                </c:pt>
                <c:pt idx="15">
                  <c:v>0.6</c:v>
                </c:pt>
              </c:numCache>
            </c:numRef>
          </c:yVal>
          <c:smooth val="0"/>
        </c:ser>
        <c:dLbls>
          <c:showLegendKey val="0"/>
          <c:showVal val="0"/>
          <c:showCatName val="0"/>
          <c:showSerName val="0"/>
          <c:showPercent val="0"/>
          <c:showBubbleSize val="0"/>
        </c:dLbls>
        <c:axId val="402266096"/>
        <c:axId val="402273656"/>
      </c:scatterChart>
      <c:valAx>
        <c:axId val="4022660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402273656"/>
        <c:crosses val="autoZero"/>
        <c:crossBetween val="midCat"/>
      </c:valAx>
      <c:valAx>
        <c:axId val="402273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402266096"/>
        <c:crosses val="autoZero"/>
        <c:crossBetween val="midCat"/>
      </c:valAx>
      <c:spPr>
        <a:noFill/>
        <a:ln>
          <a:noFill/>
        </a:ln>
        <a:effectLst/>
      </c:spPr>
    </c:plotArea>
    <c:plotVisOnly val="1"/>
    <c:dispBlanksAs val="gap"/>
    <c:showDLblsOverMax val="0"/>
    <c:extLst>
      <c:ext uri="{0b15fc19-7d7d-44ad-8c2d-2c3a37ce22c3}">
        <chartProps xmlns="https://web.wps.cn/et/2018/main" chartId="{94f60dc6-2ab4-441b-89c3-410b2b6d5017}"/>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scatterChart>
        <c:scatterStyle val="lineMarker"/>
        <c:varyColors val="0"/>
        <c:ser>
          <c:idx val="0"/>
          <c:order val="0"/>
          <c:tx>
            <c:strRef>
              <c:f>Sheet1!$E$22:$E$23</c:f>
              <c:strCache>
                <c:ptCount val="1"/>
                <c:pt idx="0">
                  <c:v>Kostiakov Observed</c:v>
                </c:pt>
              </c:strCache>
            </c:strRef>
          </c:tx>
          <c:spPr>
            <a:ln w="19050" cap="rnd">
              <a:noFill/>
              <a:round/>
            </a:ln>
            <a:effectLst/>
          </c:spPr>
          <c:marker>
            <c:symbol val="circle"/>
            <c:size val="5"/>
            <c:spPr>
              <a:solidFill>
                <a:schemeClr val="accent6"/>
              </a:solidFill>
              <a:ln w="9525">
                <a:solidFill>
                  <a:schemeClr val="accent6"/>
                </a:solidFill>
              </a:ln>
              <a:effectLst/>
            </c:spPr>
          </c:marker>
          <c:dLbls>
            <c:delete val="1"/>
          </c:dLbls>
          <c:trendline>
            <c:spPr>
              <a:ln w="19050" cap="rnd">
                <a:solidFill>
                  <a:schemeClr val="accent6"/>
                </a:solidFill>
                <a:prstDash val="sysDot"/>
              </a:ln>
              <a:effectLst/>
            </c:spPr>
            <c:trendlineType val="linear"/>
            <c:dispRSqr val="0"/>
            <c:dispEq val="0"/>
          </c:trendline>
          <c:xVal>
            <c:numRef>
              <c:f>Sheet1!$D$24:$D$45</c:f>
              <c:numCache>
                <c:formatCode>General</c:formatCode>
                <c:ptCount val="22"/>
                <c:pt idx="0">
                  <c:v>0.455162812138992</c:v>
                </c:pt>
                <c:pt idx="1">
                  <c:v>0.397119032799346</c:v>
                </c:pt>
                <c:pt idx="2">
                  <c:v>0.528673888746051</c:v>
                </c:pt>
                <c:pt idx="3">
                  <c:v>0.433471439088054</c:v>
                </c:pt>
                <c:pt idx="4">
                  <c:v>0.324434373868123</c:v>
                </c:pt>
                <c:pt idx="5">
                  <c:v>0.227608499912228</c:v>
                </c:pt>
                <c:pt idx="6">
                  <c:v>0.409290010123183</c:v>
                </c:pt>
                <c:pt idx="7">
                  <c:v>0.218635737931666</c:v>
                </c:pt>
                <c:pt idx="8">
                  <c:v>0.233282180334669</c:v>
                </c:pt>
                <c:pt idx="9">
                  <c:v>0.409290010123183</c:v>
                </c:pt>
                <c:pt idx="10">
                  <c:v>0.378537424811693</c:v>
                </c:pt>
                <c:pt idx="11">
                  <c:v>0.219189036821231</c:v>
                </c:pt>
                <c:pt idx="12">
                  <c:v>0.500046447083093</c:v>
                </c:pt>
                <c:pt idx="13">
                  <c:v>0.250052989109898</c:v>
                </c:pt>
                <c:pt idx="14">
                  <c:v>0.458130106521314</c:v>
                </c:pt>
                <c:pt idx="15">
                  <c:v>0.505623893276255</c:v>
                </c:pt>
                <c:pt idx="16">
                  <c:v>0.250052989109898</c:v>
                </c:pt>
                <c:pt idx="17">
                  <c:v>0.458130106521314</c:v>
                </c:pt>
                <c:pt idx="18">
                  <c:v>0.252816763888409</c:v>
                </c:pt>
                <c:pt idx="19">
                  <c:v>0.465</c:v>
                </c:pt>
                <c:pt idx="20">
                  <c:v>0.711043789849095</c:v>
                </c:pt>
                <c:pt idx="21">
                  <c:v>0.528673888746051</c:v>
                </c:pt>
              </c:numCache>
            </c:numRef>
          </c:xVal>
          <c:yVal>
            <c:numRef>
              <c:f>Sheet1!$E$24:$E$45</c:f>
              <c:numCache>
                <c:formatCode>General</c:formatCode>
                <c:ptCount val="22"/>
                <c:pt idx="0">
                  <c:v>0.233333333333333</c:v>
                </c:pt>
                <c:pt idx="1">
                  <c:v>0.166666666666667</c:v>
                </c:pt>
                <c:pt idx="2">
                  <c:v>0.25</c:v>
                </c:pt>
                <c:pt idx="3">
                  <c:v>0.2</c:v>
                </c:pt>
                <c:pt idx="4">
                  <c:v>0.133333333333333</c:v>
                </c:pt>
                <c:pt idx="5">
                  <c:v>0.116666666666667</c:v>
                </c:pt>
                <c:pt idx="6">
                  <c:v>0.183333333333333</c:v>
                </c:pt>
                <c:pt idx="7">
                  <c:v>0.116666666666667</c:v>
                </c:pt>
                <c:pt idx="8">
                  <c:v>0.113333333333333</c:v>
                </c:pt>
                <c:pt idx="9">
                  <c:v>0.183333333333333</c:v>
                </c:pt>
                <c:pt idx="10">
                  <c:v>0.183333333333333</c:v>
                </c:pt>
                <c:pt idx="11">
                  <c:v>0.1</c:v>
                </c:pt>
                <c:pt idx="12">
                  <c:v>0.266666666666667</c:v>
                </c:pt>
                <c:pt idx="13">
                  <c:v>0.133333333333333</c:v>
                </c:pt>
                <c:pt idx="14">
                  <c:v>0.2</c:v>
                </c:pt>
                <c:pt idx="15">
                  <c:v>0.233333333333333</c:v>
                </c:pt>
                <c:pt idx="16">
                  <c:v>0.133333333333333</c:v>
                </c:pt>
                <c:pt idx="17">
                  <c:v>0.2</c:v>
                </c:pt>
                <c:pt idx="18">
                  <c:v>0.116666666666667</c:v>
                </c:pt>
                <c:pt idx="19">
                  <c:v>0.25</c:v>
                </c:pt>
                <c:pt idx="20">
                  <c:v>0.316666666666667</c:v>
                </c:pt>
                <c:pt idx="21">
                  <c:v>0.25</c:v>
                </c:pt>
              </c:numCache>
            </c:numRef>
          </c:yVal>
          <c:smooth val="0"/>
        </c:ser>
        <c:dLbls>
          <c:showLegendKey val="0"/>
          <c:showVal val="0"/>
          <c:showCatName val="0"/>
          <c:showSerName val="0"/>
          <c:showPercent val="0"/>
          <c:showBubbleSize val="0"/>
        </c:dLbls>
        <c:axId val="735021648"/>
        <c:axId val="735022008"/>
      </c:scatterChart>
      <c:valAx>
        <c:axId val="735021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Observed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5022008"/>
        <c:crosses val="autoZero"/>
        <c:crossBetween val="midCat"/>
      </c:valAx>
      <c:valAx>
        <c:axId val="735022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Simulated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5021648"/>
        <c:crosses val="autoZero"/>
        <c:crossBetween val="midCat"/>
      </c:valAx>
      <c:spPr>
        <a:noFill/>
        <a:ln>
          <a:noFill/>
        </a:ln>
        <a:effectLst/>
      </c:spPr>
    </c:plotArea>
    <c:plotVisOnly val="1"/>
    <c:dispBlanksAs val="gap"/>
    <c:showDLblsOverMax val="0"/>
    <c:extLst>
      <c:ext uri="{0b15fc19-7d7d-44ad-8c2d-2c3a37ce22c3}">
        <chartProps xmlns="https://web.wps.cn/et/2018/main" chartId="{c4f72171-dba8-4c80-9c79-cfa2f4eaf2fa}"/>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scatterChart>
        <c:scatterStyle val="lineMarker"/>
        <c:varyColors val="0"/>
        <c:ser>
          <c:idx val="0"/>
          <c:order val="0"/>
          <c:tx>
            <c:strRef>
              <c:f>Sheet1!$I$22:$I$23</c:f>
              <c:strCache>
                <c:ptCount val="1"/>
                <c:pt idx="0">
                  <c:v>Horton Observed</c:v>
                </c:pt>
              </c:strCache>
            </c:strRef>
          </c:tx>
          <c:spPr>
            <a:ln w="19050" cap="rnd">
              <a:noFill/>
              <a:round/>
            </a:ln>
            <a:effectLst/>
          </c:spPr>
          <c:marker>
            <c:symbol val="circle"/>
            <c:size val="5"/>
            <c:spPr>
              <a:solidFill>
                <a:schemeClr val="accent6"/>
              </a:solidFill>
              <a:ln w="9525">
                <a:solidFill>
                  <a:schemeClr val="accent6"/>
                </a:solidFill>
              </a:ln>
              <a:effectLst/>
            </c:spPr>
          </c:marker>
          <c:dLbls>
            <c:delete val="1"/>
          </c:dLbls>
          <c:trendline>
            <c:spPr>
              <a:ln w="19050" cap="rnd">
                <a:solidFill>
                  <a:schemeClr val="accent6"/>
                </a:solidFill>
                <a:prstDash val="sysDot"/>
              </a:ln>
              <a:effectLst/>
            </c:spPr>
            <c:trendlineType val="linear"/>
            <c:dispRSqr val="0"/>
            <c:dispEq val="0"/>
          </c:trendline>
          <c:xVal>
            <c:numRef>
              <c:f>Sheet1!$H$24:$H$45</c:f>
              <c:numCache>
                <c:formatCode>General</c:formatCode>
                <c:ptCount val="22"/>
                <c:pt idx="0">
                  <c:v>0.311345732597571</c:v>
                </c:pt>
                <c:pt idx="1">
                  <c:v>0.245780284998716</c:v>
                </c:pt>
                <c:pt idx="2">
                  <c:v>0.473613201219667</c:v>
                </c:pt>
                <c:pt idx="3">
                  <c:v>0.163053598543666</c:v>
                </c:pt>
                <c:pt idx="4">
                  <c:v>0.163055338086227</c:v>
                </c:pt>
                <c:pt idx="5">
                  <c:v>0.163053598543666</c:v>
                </c:pt>
                <c:pt idx="6">
                  <c:v>0.185337879689699</c:v>
                </c:pt>
                <c:pt idx="7">
                  <c:v>0.163055338086227</c:v>
                </c:pt>
                <c:pt idx="8">
                  <c:v>0.288104985827125</c:v>
                </c:pt>
                <c:pt idx="9">
                  <c:v>0.610314074741024</c:v>
                </c:pt>
                <c:pt idx="10">
                  <c:v>0.369663050809346</c:v>
                </c:pt>
                <c:pt idx="11">
                  <c:v>0.414248938176987</c:v>
                </c:pt>
                <c:pt idx="12">
                  <c:v>0.610314074741024</c:v>
                </c:pt>
                <c:pt idx="13">
                  <c:v>0.557723386280447</c:v>
                </c:pt>
                <c:pt idx="14">
                  <c:v>0.557723386280447</c:v>
                </c:pt>
                <c:pt idx="15">
                  <c:v>0.610314074741024</c:v>
                </c:pt>
                <c:pt idx="16">
                  <c:v>0.284039990404162</c:v>
                </c:pt>
                <c:pt idx="17">
                  <c:v>0.637526658591843</c:v>
                </c:pt>
                <c:pt idx="18">
                  <c:v>0.30972990190863</c:v>
                </c:pt>
                <c:pt idx="19">
                  <c:v>0.464524464837427</c:v>
                </c:pt>
                <c:pt idx="20">
                  <c:v>0.530607448950417</c:v>
                </c:pt>
                <c:pt idx="21">
                  <c:v>0.473613201219667</c:v>
                </c:pt>
              </c:numCache>
            </c:numRef>
          </c:xVal>
          <c:yVal>
            <c:numRef>
              <c:f>Sheet1!$I$24:$I$45</c:f>
              <c:numCache>
                <c:formatCode>General</c:formatCode>
                <c:ptCount val="22"/>
                <c:pt idx="0">
                  <c:v>0.233333333333333</c:v>
                </c:pt>
                <c:pt idx="1">
                  <c:v>0.116666666666667</c:v>
                </c:pt>
                <c:pt idx="2">
                  <c:v>0.25</c:v>
                </c:pt>
                <c:pt idx="3">
                  <c:v>0.116666666666667</c:v>
                </c:pt>
                <c:pt idx="4">
                  <c:v>0.116666666666667</c:v>
                </c:pt>
                <c:pt idx="5">
                  <c:v>0.116666666666667</c:v>
                </c:pt>
                <c:pt idx="6">
                  <c:v>0.183333333333333</c:v>
                </c:pt>
                <c:pt idx="7">
                  <c:v>0.116666666666667</c:v>
                </c:pt>
                <c:pt idx="8">
                  <c:v>0.113333333333333</c:v>
                </c:pt>
                <c:pt idx="9">
                  <c:v>0.533333333333333</c:v>
                </c:pt>
                <c:pt idx="10">
                  <c:v>0.183333333333333</c:v>
                </c:pt>
                <c:pt idx="11">
                  <c:v>0.26</c:v>
                </c:pt>
                <c:pt idx="12">
                  <c:v>0.533333333333333</c:v>
                </c:pt>
                <c:pt idx="13">
                  <c:v>0.4</c:v>
                </c:pt>
                <c:pt idx="14">
                  <c:v>0.4</c:v>
                </c:pt>
                <c:pt idx="15">
                  <c:v>0.533333333333333</c:v>
                </c:pt>
                <c:pt idx="16">
                  <c:v>0.132589285714286</c:v>
                </c:pt>
                <c:pt idx="17">
                  <c:v>0.5</c:v>
                </c:pt>
                <c:pt idx="18">
                  <c:v>0.116666666666667</c:v>
                </c:pt>
                <c:pt idx="19">
                  <c:v>0.333333333333333</c:v>
                </c:pt>
                <c:pt idx="20">
                  <c:v>0.6</c:v>
                </c:pt>
                <c:pt idx="21">
                  <c:v>0.25</c:v>
                </c:pt>
              </c:numCache>
            </c:numRef>
          </c:yVal>
          <c:smooth val="0"/>
        </c:ser>
        <c:dLbls>
          <c:showLegendKey val="0"/>
          <c:showVal val="0"/>
          <c:showCatName val="0"/>
          <c:showSerName val="0"/>
          <c:showPercent val="0"/>
          <c:showBubbleSize val="0"/>
        </c:dLbls>
        <c:axId val="734912208"/>
        <c:axId val="734915808"/>
      </c:scatterChart>
      <c:valAx>
        <c:axId val="734912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Observed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15808"/>
        <c:crosses val="autoZero"/>
        <c:crossBetween val="midCat"/>
      </c:valAx>
      <c:valAx>
        <c:axId val="734915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Simulated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12208"/>
        <c:crosses val="autoZero"/>
        <c:crossBetween val="midCat"/>
      </c:valAx>
      <c:spPr>
        <a:noFill/>
        <a:ln>
          <a:noFill/>
        </a:ln>
        <a:effectLst/>
      </c:spPr>
    </c:plotArea>
    <c:plotVisOnly val="1"/>
    <c:dispBlanksAs val="gap"/>
    <c:showDLblsOverMax val="0"/>
    <c:extLst>
      <c:ext uri="{0b15fc19-7d7d-44ad-8c2d-2c3a37ce22c3}">
        <chartProps xmlns="https://web.wps.cn/et/2018/main" chartId="{a86548c3-27cc-4a98-8ebd-d3a7c4294ebf}"/>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scatterChart>
        <c:scatterStyle val="lineMarker"/>
        <c:varyColors val="0"/>
        <c:ser>
          <c:idx val="0"/>
          <c:order val="0"/>
          <c:tx>
            <c:strRef>
              <c:f>Sheet1!$G$22:$G$23</c:f>
              <c:strCache>
                <c:ptCount val="1"/>
                <c:pt idx="0">
                  <c:v>Philip Observed</c:v>
                </c:pt>
              </c:strCache>
            </c:strRef>
          </c:tx>
          <c:spPr>
            <a:ln w="19050" cap="rnd">
              <a:noFill/>
              <a:round/>
            </a:ln>
            <a:effectLst/>
          </c:spPr>
          <c:marker>
            <c:symbol val="circle"/>
            <c:size val="5"/>
            <c:spPr>
              <a:solidFill>
                <a:schemeClr val="accent6"/>
              </a:solidFill>
              <a:ln w="9525">
                <a:solidFill>
                  <a:schemeClr val="accent6"/>
                </a:solidFill>
              </a:ln>
              <a:effectLst/>
            </c:spPr>
          </c:marker>
          <c:dLbls>
            <c:delete val="1"/>
          </c:dLbls>
          <c:trendline>
            <c:spPr>
              <a:ln w="19050" cap="rnd">
                <a:solidFill>
                  <a:schemeClr val="accent6"/>
                </a:solidFill>
                <a:prstDash val="sysDot"/>
              </a:ln>
              <a:effectLst/>
            </c:spPr>
            <c:trendlineType val="linear"/>
            <c:dispRSqr val="0"/>
            <c:dispEq val="0"/>
          </c:trendline>
          <c:xVal>
            <c:numRef>
              <c:f>Sheet1!$F$24:$F$45</c:f>
              <c:numCache>
                <c:formatCode>General</c:formatCode>
                <c:ptCount val="22"/>
                <c:pt idx="0">
                  <c:v>0.266632682966504</c:v>
                </c:pt>
                <c:pt idx="1">
                  <c:v>0.233382664179854</c:v>
                </c:pt>
                <c:pt idx="2">
                  <c:v>0.250067105626411</c:v>
                </c:pt>
                <c:pt idx="3">
                  <c:v>0.233339812404611</c:v>
                </c:pt>
                <c:pt idx="4">
                  <c:v>0.200006413318326</c:v>
                </c:pt>
                <c:pt idx="5">
                  <c:v>0.116719906202306</c:v>
                </c:pt>
                <c:pt idx="6">
                  <c:v>0.11670434341102</c:v>
                </c:pt>
                <c:pt idx="7">
                  <c:v>0.249977054427063</c:v>
                </c:pt>
                <c:pt idx="8">
                  <c:v>0.122816704768182</c:v>
                </c:pt>
                <c:pt idx="9">
                  <c:v>0.266675534741747</c:v>
                </c:pt>
                <c:pt idx="10">
                  <c:v>0.183353315738669</c:v>
                </c:pt>
                <c:pt idx="11">
                  <c:v>0.105246215272859</c:v>
                </c:pt>
                <c:pt idx="12">
                  <c:v>0.233330370165732</c:v>
                </c:pt>
                <c:pt idx="13">
                  <c:v>0.399979662382523</c:v>
                </c:pt>
                <c:pt idx="14">
                  <c:v>0.266632682966504</c:v>
                </c:pt>
                <c:pt idx="15">
                  <c:v>0.233306631477338</c:v>
                </c:pt>
                <c:pt idx="16">
                  <c:v>0.217243080075307</c:v>
                </c:pt>
                <c:pt idx="17">
                  <c:v>0.290197342700948</c:v>
                </c:pt>
                <c:pt idx="18">
                  <c:v>0.139667163571006</c:v>
                </c:pt>
                <c:pt idx="19">
                  <c:v>0.500025515955097</c:v>
                </c:pt>
                <c:pt idx="20">
                  <c:v>0.366606631477338</c:v>
                </c:pt>
                <c:pt idx="21">
                  <c:v>0.139667163571006</c:v>
                </c:pt>
              </c:numCache>
            </c:numRef>
          </c:xVal>
          <c:yVal>
            <c:numRef>
              <c:f>Sheet1!$G$24:$G$45</c:f>
              <c:numCache>
                <c:formatCode>General</c:formatCode>
                <c:ptCount val="22"/>
                <c:pt idx="0">
                  <c:v>0.266666666666667</c:v>
                </c:pt>
                <c:pt idx="1">
                  <c:v>0.233333333333333</c:v>
                </c:pt>
                <c:pt idx="2">
                  <c:v>0.25</c:v>
                </c:pt>
                <c:pt idx="3">
                  <c:v>0.233333333333333</c:v>
                </c:pt>
                <c:pt idx="4">
                  <c:v>0.2</c:v>
                </c:pt>
                <c:pt idx="5">
                  <c:v>0.116666666666667</c:v>
                </c:pt>
                <c:pt idx="6">
                  <c:v>0.116666666666667</c:v>
                </c:pt>
                <c:pt idx="7">
                  <c:v>0.25</c:v>
                </c:pt>
                <c:pt idx="8">
                  <c:v>0.113333333333333</c:v>
                </c:pt>
                <c:pt idx="9">
                  <c:v>0.266666666666667</c:v>
                </c:pt>
                <c:pt idx="10">
                  <c:v>0.183333333333333</c:v>
                </c:pt>
                <c:pt idx="11">
                  <c:v>0.106666666666667</c:v>
                </c:pt>
                <c:pt idx="12">
                  <c:v>0.233333333333333</c:v>
                </c:pt>
                <c:pt idx="13">
                  <c:v>0.4</c:v>
                </c:pt>
                <c:pt idx="14">
                  <c:v>0.266666666666667</c:v>
                </c:pt>
                <c:pt idx="15">
                  <c:v>0.233333333333333</c:v>
                </c:pt>
                <c:pt idx="16">
                  <c:v>0.217261904761905</c:v>
                </c:pt>
                <c:pt idx="17">
                  <c:v>0.3</c:v>
                </c:pt>
                <c:pt idx="18">
                  <c:v>0.116666666666667</c:v>
                </c:pt>
                <c:pt idx="19">
                  <c:v>0.5</c:v>
                </c:pt>
                <c:pt idx="20">
                  <c:v>0.366666666666667</c:v>
                </c:pt>
                <c:pt idx="21">
                  <c:v>0.116666666666667</c:v>
                </c:pt>
              </c:numCache>
            </c:numRef>
          </c:yVal>
          <c:smooth val="0"/>
        </c:ser>
        <c:dLbls>
          <c:showLegendKey val="0"/>
          <c:showVal val="0"/>
          <c:showCatName val="0"/>
          <c:showSerName val="0"/>
          <c:showPercent val="0"/>
          <c:showBubbleSize val="0"/>
        </c:dLbls>
        <c:axId val="735007608"/>
        <c:axId val="735000048"/>
      </c:scatterChart>
      <c:valAx>
        <c:axId val="735007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5000048"/>
        <c:crosses val="autoZero"/>
        <c:crossBetween val="midCat"/>
      </c:valAx>
      <c:valAx>
        <c:axId val="735000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5007608"/>
        <c:crosses val="autoZero"/>
        <c:crossBetween val="midCat"/>
      </c:valAx>
      <c:spPr>
        <a:noFill/>
        <a:ln>
          <a:noFill/>
        </a:ln>
        <a:effectLst/>
      </c:spPr>
    </c:plotArea>
    <c:plotVisOnly val="1"/>
    <c:dispBlanksAs val="gap"/>
    <c:showDLblsOverMax val="0"/>
    <c:extLst>
      <c:ext uri="{0b15fc19-7d7d-44ad-8c2d-2c3a37ce22c3}">
        <chartProps xmlns="https://web.wps.cn/et/2018/main" chartId="{0396a61c-bb79-421b-b729-a80a59ca1b3e}"/>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scatterChart>
        <c:scatterStyle val="lineMarker"/>
        <c:varyColors val="0"/>
        <c:ser>
          <c:idx val="0"/>
          <c:order val="0"/>
          <c:tx>
            <c:strRef>
              <c:f>Sheet1!$K$22:$K$23</c:f>
              <c:strCache>
                <c:ptCount val="1"/>
                <c:pt idx="0">
                  <c:v>Green Ampt's Observed</c:v>
                </c:pt>
              </c:strCache>
            </c:strRef>
          </c:tx>
          <c:spPr>
            <a:ln w="19050" cap="rnd">
              <a:noFill/>
              <a:round/>
            </a:ln>
            <a:effectLst/>
          </c:spPr>
          <c:marker>
            <c:symbol val="circle"/>
            <c:size val="5"/>
            <c:spPr>
              <a:solidFill>
                <a:schemeClr val="accent6"/>
              </a:solidFill>
              <a:ln w="9525">
                <a:solidFill>
                  <a:schemeClr val="accent6"/>
                </a:solidFill>
              </a:ln>
              <a:effectLst/>
            </c:spPr>
          </c:marker>
          <c:dLbls>
            <c:delete val="1"/>
          </c:dLbls>
          <c:trendline>
            <c:spPr>
              <a:ln w="19050" cap="rnd">
                <a:solidFill>
                  <a:schemeClr val="accent6"/>
                </a:solidFill>
                <a:prstDash val="sysDot"/>
              </a:ln>
              <a:effectLst/>
            </c:spPr>
            <c:trendlineType val="linear"/>
            <c:dispRSqr val="0"/>
            <c:dispEq val="0"/>
          </c:trendline>
          <c:xVal>
            <c:numRef>
              <c:f>Sheet1!$J$24:$J$45</c:f>
              <c:numCache>
                <c:formatCode>General</c:formatCode>
                <c:ptCount val="22"/>
                <c:pt idx="0">
                  <c:v>0.233191071428571</c:v>
                </c:pt>
                <c:pt idx="1">
                  <c:v>0.166797222222222</c:v>
                </c:pt>
                <c:pt idx="2">
                  <c:v>0.250048717948718</c:v>
                </c:pt>
                <c:pt idx="3">
                  <c:v>0.2005125</c:v>
                </c:pt>
                <c:pt idx="4">
                  <c:v>0.133294047619048</c:v>
                </c:pt>
                <c:pt idx="5">
                  <c:v>0.116732142857143</c:v>
                </c:pt>
                <c:pt idx="6">
                  <c:v>0.183209974747475</c:v>
                </c:pt>
                <c:pt idx="7">
                  <c:v>0.116732142857143</c:v>
                </c:pt>
                <c:pt idx="8">
                  <c:v>0.113165939942411</c:v>
                </c:pt>
                <c:pt idx="9">
                  <c:v>0.183209974747475</c:v>
                </c:pt>
                <c:pt idx="10">
                  <c:v>0.183271428571429</c:v>
                </c:pt>
                <c:pt idx="11">
                  <c:v>0.0799037878787879</c:v>
                </c:pt>
                <c:pt idx="12">
                  <c:v>0.233357142857143</c:v>
                </c:pt>
                <c:pt idx="13">
                  <c:v>0.1333</c:v>
                </c:pt>
                <c:pt idx="14">
                  <c:v>0.200026262626263</c:v>
                </c:pt>
                <c:pt idx="15">
                  <c:v>0.233242857142857</c:v>
                </c:pt>
                <c:pt idx="16">
                  <c:v>0.132408928571429</c:v>
                </c:pt>
                <c:pt idx="17">
                  <c:v>0.200026262626263</c:v>
                </c:pt>
                <c:pt idx="18">
                  <c:v>0.116571428571429</c:v>
                </c:pt>
                <c:pt idx="19">
                  <c:v>0.3332875</c:v>
                </c:pt>
                <c:pt idx="20">
                  <c:v>0.316581379920389</c:v>
                </c:pt>
                <c:pt idx="21">
                  <c:v>0.250048717948718</c:v>
                </c:pt>
              </c:numCache>
            </c:numRef>
          </c:xVal>
          <c:yVal>
            <c:numRef>
              <c:f>Sheet1!$K$24:$K$45</c:f>
              <c:numCache>
                <c:formatCode>General</c:formatCode>
                <c:ptCount val="22"/>
                <c:pt idx="0">
                  <c:v>0.233333333333333</c:v>
                </c:pt>
                <c:pt idx="1">
                  <c:v>0.166666666666667</c:v>
                </c:pt>
                <c:pt idx="2">
                  <c:v>0.25</c:v>
                </c:pt>
                <c:pt idx="3">
                  <c:v>0.200595238095238</c:v>
                </c:pt>
                <c:pt idx="4">
                  <c:v>0.133333333333333</c:v>
                </c:pt>
                <c:pt idx="5">
                  <c:v>0.116666666666667</c:v>
                </c:pt>
                <c:pt idx="6">
                  <c:v>0.183333333333333</c:v>
                </c:pt>
                <c:pt idx="7">
                  <c:v>0.116666666666667</c:v>
                </c:pt>
                <c:pt idx="8">
                  <c:v>0.113333333333333</c:v>
                </c:pt>
                <c:pt idx="9">
                  <c:v>0.183333333333333</c:v>
                </c:pt>
                <c:pt idx="10">
                  <c:v>0.183333333333333</c:v>
                </c:pt>
                <c:pt idx="11">
                  <c:v>0.08</c:v>
                </c:pt>
                <c:pt idx="12">
                  <c:v>0.233333333333333</c:v>
                </c:pt>
                <c:pt idx="13">
                  <c:v>0.133333333333333</c:v>
                </c:pt>
                <c:pt idx="14">
                  <c:v>0.2</c:v>
                </c:pt>
                <c:pt idx="15">
                  <c:v>0.233333333333333</c:v>
                </c:pt>
                <c:pt idx="16">
                  <c:v>0.132589285714286</c:v>
                </c:pt>
                <c:pt idx="17">
                  <c:v>0.2</c:v>
                </c:pt>
                <c:pt idx="18">
                  <c:v>0.116666666666667</c:v>
                </c:pt>
                <c:pt idx="19">
                  <c:v>0.333333333333333</c:v>
                </c:pt>
                <c:pt idx="20">
                  <c:v>0.316666666666667</c:v>
                </c:pt>
                <c:pt idx="21">
                  <c:v>0.25</c:v>
                </c:pt>
              </c:numCache>
            </c:numRef>
          </c:yVal>
          <c:smooth val="0"/>
        </c:ser>
        <c:dLbls>
          <c:showLegendKey val="0"/>
          <c:showVal val="0"/>
          <c:showCatName val="0"/>
          <c:showSerName val="0"/>
          <c:showPercent val="0"/>
          <c:showBubbleSize val="0"/>
        </c:dLbls>
        <c:axId val="734929488"/>
        <c:axId val="734933448"/>
      </c:scatterChart>
      <c:valAx>
        <c:axId val="734929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Observed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33448"/>
        <c:crosses val="autoZero"/>
        <c:crossBetween val="midCat"/>
      </c:valAx>
      <c:valAx>
        <c:axId val="734933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Simulated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29488"/>
        <c:crosses val="autoZero"/>
        <c:crossBetween val="midCat"/>
      </c:valAx>
      <c:spPr>
        <a:noFill/>
        <a:ln>
          <a:noFill/>
        </a:ln>
        <a:effectLst/>
      </c:spPr>
    </c:plotArea>
    <c:plotVisOnly val="1"/>
    <c:dispBlanksAs val="gap"/>
    <c:showDLblsOverMax val="0"/>
    <c:extLst>
      <c:ext uri="{0b15fc19-7d7d-44ad-8c2d-2c3a37ce22c3}">
        <chartProps xmlns="https://web.wps.cn/et/2018/main" chartId="{ec82961b-73d8-4c43-a269-a05c1303cada}"/>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scatterChart>
        <c:scatterStyle val="lineMarker"/>
        <c:varyColors val="0"/>
        <c:ser>
          <c:idx val="0"/>
          <c:order val="0"/>
          <c:tx>
            <c:strRef>
              <c:f>Sheet1!$E$47:$E$48</c:f>
              <c:strCache>
                <c:ptCount val="1"/>
                <c:pt idx="0">
                  <c:v>Kostiakov Observed</c:v>
                </c:pt>
              </c:strCache>
            </c:strRef>
          </c:tx>
          <c:spPr>
            <a:ln w="19050" cap="rnd">
              <a:noFill/>
              <a:round/>
            </a:ln>
            <a:effectLst/>
          </c:spPr>
          <c:marker>
            <c:symbol val="circle"/>
            <c:size val="5"/>
            <c:spPr>
              <a:solidFill>
                <a:schemeClr val="accent4"/>
              </a:solidFill>
              <a:ln w="9525">
                <a:solidFill>
                  <a:schemeClr val="accent4"/>
                </a:solidFill>
              </a:ln>
              <a:effectLst/>
            </c:spPr>
          </c:marker>
          <c:dLbls>
            <c:delete val="1"/>
          </c:dLbls>
          <c:trendline>
            <c:spPr>
              <a:ln w="19050" cap="rnd">
                <a:solidFill>
                  <a:schemeClr val="accent4"/>
                </a:solidFill>
                <a:prstDash val="sysDot"/>
              </a:ln>
              <a:effectLst/>
            </c:spPr>
            <c:trendlineType val="linear"/>
            <c:dispRSqr val="0"/>
            <c:dispEq val="0"/>
          </c:trendline>
          <c:xVal>
            <c:numRef>
              <c:f>Sheet1!$D$49:$D$71</c:f>
              <c:numCache>
                <c:formatCode>General</c:formatCode>
                <c:ptCount val="23"/>
                <c:pt idx="0">
                  <c:v>0.590317290827209</c:v>
                </c:pt>
                <c:pt idx="1">
                  <c:v>0.462680041627193</c:v>
                </c:pt>
                <c:pt idx="2">
                  <c:v>0.561530087910733</c:v>
                </c:pt>
                <c:pt idx="3">
                  <c:v>0.590317290827209</c:v>
                </c:pt>
                <c:pt idx="4">
                  <c:v>0.250051200717292</c:v>
                </c:pt>
                <c:pt idx="5">
                  <c:v>0.633965156831748</c:v>
                </c:pt>
                <c:pt idx="6">
                  <c:v>0.694497877355714</c:v>
                </c:pt>
                <c:pt idx="7">
                  <c:v>0.279501537142099</c:v>
                </c:pt>
                <c:pt idx="8">
                  <c:v>0.459926161020742</c:v>
                </c:pt>
                <c:pt idx="9">
                  <c:v>0.481495266963399</c:v>
                </c:pt>
                <c:pt idx="10">
                  <c:v>0.561530087910733</c:v>
                </c:pt>
                <c:pt idx="11">
                  <c:v>0.48098155094447</c:v>
                </c:pt>
                <c:pt idx="12">
                  <c:v>0.469840414284599</c:v>
                </c:pt>
                <c:pt idx="13">
                  <c:v>0.534153575218635</c:v>
                </c:pt>
                <c:pt idx="14">
                  <c:v>0.4551517684957</c:v>
                </c:pt>
                <c:pt idx="15">
                  <c:v>0.48098155094447</c:v>
                </c:pt>
                <c:pt idx="16">
                  <c:v>0.48098155094447</c:v>
                </c:pt>
                <c:pt idx="17">
                  <c:v>0.287284756834983</c:v>
                </c:pt>
                <c:pt idx="18">
                  <c:v>0.398846871650451</c:v>
                </c:pt>
                <c:pt idx="19">
                  <c:v>0.622353024693372</c:v>
                </c:pt>
                <c:pt idx="20">
                  <c:v>0.285855126895279</c:v>
                </c:pt>
                <c:pt idx="21">
                  <c:v>0.590317290827209</c:v>
                </c:pt>
                <c:pt idx="22">
                  <c:v>0.375501472615212</c:v>
                </c:pt>
              </c:numCache>
            </c:numRef>
          </c:xVal>
          <c:yVal>
            <c:numRef>
              <c:f>Sheet1!$E$49:$E$71</c:f>
              <c:numCache>
                <c:formatCode>General</c:formatCode>
                <c:ptCount val="23"/>
                <c:pt idx="0">
                  <c:v>0.55</c:v>
                </c:pt>
                <c:pt idx="1">
                  <c:v>0.3</c:v>
                </c:pt>
                <c:pt idx="2">
                  <c:v>0.55</c:v>
                </c:pt>
                <c:pt idx="3">
                  <c:v>0.55</c:v>
                </c:pt>
                <c:pt idx="4">
                  <c:v>0.2</c:v>
                </c:pt>
                <c:pt idx="5">
                  <c:v>0.6</c:v>
                </c:pt>
                <c:pt idx="6">
                  <c:v>0.6</c:v>
                </c:pt>
                <c:pt idx="7">
                  <c:v>0.2</c:v>
                </c:pt>
                <c:pt idx="8">
                  <c:v>0.4</c:v>
                </c:pt>
                <c:pt idx="9">
                  <c:v>0.3</c:v>
                </c:pt>
                <c:pt idx="10">
                  <c:v>0.55</c:v>
                </c:pt>
                <c:pt idx="11">
                  <c:v>0.35</c:v>
                </c:pt>
                <c:pt idx="12">
                  <c:v>0.325</c:v>
                </c:pt>
                <c:pt idx="13">
                  <c:v>0.425</c:v>
                </c:pt>
                <c:pt idx="14">
                  <c:v>0.35</c:v>
                </c:pt>
                <c:pt idx="15">
                  <c:v>0.35</c:v>
                </c:pt>
                <c:pt idx="16">
                  <c:v>0.35</c:v>
                </c:pt>
                <c:pt idx="17">
                  <c:v>0.2</c:v>
                </c:pt>
                <c:pt idx="18">
                  <c:v>0.35</c:v>
                </c:pt>
                <c:pt idx="19">
                  <c:v>0.65</c:v>
                </c:pt>
                <c:pt idx="20">
                  <c:v>0.266666666666667</c:v>
                </c:pt>
                <c:pt idx="21">
                  <c:v>0.55</c:v>
                </c:pt>
                <c:pt idx="22">
                  <c:v>0.3</c:v>
                </c:pt>
              </c:numCache>
            </c:numRef>
          </c:yVal>
          <c:smooth val="0"/>
        </c:ser>
        <c:dLbls>
          <c:showLegendKey val="0"/>
          <c:showVal val="0"/>
          <c:showCatName val="0"/>
          <c:showSerName val="0"/>
          <c:showPercent val="0"/>
          <c:showBubbleSize val="0"/>
        </c:dLbls>
        <c:axId val="734894928"/>
        <c:axId val="734899608"/>
      </c:scatterChart>
      <c:valAx>
        <c:axId val="734894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899608"/>
        <c:crosses val="autoZero"/>
        <c:crossBetween val="midCat"/>
      </c:valAx>
      <c:valAx>
        <c:axId val="734899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a:t>Simulated infiltration (cm/hr)</a:t>
                </a:r>
                <a:endParaRPr lang="en-US" sz="600" b="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894928"/>
        <c:crosses val="autoZero"/>
        <c:crossBetween val="midCat"/>
      </c:valAx>
      <c:spPr>
        <a:noFill/>
        <a:ln>
          <a:noFill/>
        </a:ln>
        <a:effectLst/>
      </c:spPr>
    </c:plotArea>
    <c:plotVisOnly val="1"/>
    <c:dispBlanksAs val="gap"/>
    <c:showDLblsOverMax val="0"/>
    <c:extLst>
      <c:ext uri="{0b15fc19-7d7d-44ad-8c2d-2c3a37ce22c3}">
        <chartProps xmlns="https://web.wps.cn/et/2018/main" chartId="{ad838bae-fafe-44c4-aa33-d9f4311d7897}"/>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scatterChart>
        <c:scatterStyle val="lineMarker"/>
        <c:varyColors val="0"/>
        <c:ser>
          <c:idx val="0"/>
          <c:order val="0"/>
          <c:tx>
            <c:strRef>
              <c:f>Sheet1!$I$47:$I$48</c:f>
              <c:strCache>
                <c:ptCount val="1"/>
                <c:pt idx="0">
                  <c:v>Horton Observed</c:v>
                </c:pt>
              </c:strCache>
            </c:strRef>
          </c:tx>
          <c:spPr>
            <a:ln w="19050" cap="rnd">
              <a:noFill/>
              <a:round/>
            </a:ln>
            <a:effectLst/>
          </c:spPr>
          <c:marker>
            <c:symbol val="circle"/>
            <c:size val="5"/>
            <c:spPr>
              <a:solidFill>
                <a:schemeClr val="accent4"/>
              </a:solidFill>
              <a:ln w="9525">
                <a:solidFill>
                  <a:schemeClr val="accent4"/>
                </a:solidFill>
              </a:ln>
              <a:effectLst/>
            </c:spPr>
          </c:marker>
          <c:dLbls>
            <c:delete val="1"/>
          </c:dLbls>
          <c:trendline>
            <c:spPr>
              <a:ln w="19050" cap="rnd">
                <a:solidFill>
                  <a:schemeClr val="accent4"/>
                </a:solidFill>
                <a:prstDash val="sysDot"/>
              </a:ln>
              <a:effectLst/>
            </c:spPr>
            <c:trendlineType val="linear"/>
            <c:dispRSqr val="0"/>
            <c:dispEq val="0"/>
          </c:trendline>
          <c:xVal>
            <c:numRef>
              <c:f>Sheet1!$H$49:$H$71</c:f>
              <c:numCache>
                <c:formatCode>General</c:formatCode>
                <c:ptCount val="23"/>
                <c:pt idx="0">
                  <c:v>0.359882378097708</c:v>
                </c:pt>
                <c:pt idx="1">
                  <c:v>0.987085599375378</c:v>
                </c:pt>
                <c:pt idx="2">
                  <c:v>0.499989550282204</c:v>
                </c:pt>
                <c:pt idx="3">
                  <c:v>0.363230825581119</c:v>
                </c:pt>
                <c:pt idx="4">
                  <c:v>0.582734226091131</c:v>
                </c:pt>
                <c:pt idx="5">
                  <c:v>0.499989550282204</c:v>
                </c:pt>
                <c:pt idx="6">
                  <c:v>0.533548867087444</c:v>
                </c:pt>
                <c:pt idx="7">
                  <c:v>0.499989550282204</c:v>
                </c:pt>
                <c:pt idx="8">
                  <c:v>0.986035987229221</c:v>
                </c:pt>
                <c:pt idx="9">
                  <c:v>0.499989550282204</c:v>
                </c:pt>
                <c:pt idx="10">
                  <c:v>0.987085599375378</c:v>
                </c:pt>
                <c:pt idx="11">
                  <c:v>0.476849214465342</c:v>
                </c:pt>
                <c:pt idx="12">
                  <c:v>0.60134947314424</c:v>
                </c:pt>
                <c:pt idx="13">
                  <c:v>0.363434058435182</c:v>
                </c:pt>
                <c:pt idx="14">
                  <c:v>0.455734398907558</c:v>
                </c:pt>
                <c:pt idx="15">
                  <c:v>0.499286126159696</c:v>
                </c:pt>
                <c:pt idx="16">
                  <c:v>0.499989550282204</c:v>
                </c:pt>
                <c:pt idx="17">
                  <c:v>0.297256591946841</c:v>
                </c:pt>
                <c:pt idx="18">
                  <c:v>0.626408175931077</c:v>
                </c:pt>
                <c:pt idx="19">
                  <c:v>1.29995621212673</c:v>
                </c:pt>
                <c:pt idx="20">
                  <c:v>0.72523492096976</c:v>
                </c:pt>
                <c:pt idx="21">
                  <c:v>0.673012391427618</c:v>
                </c:pt>
                <c:pt idx="22">
                  <c:v>0.499996549934708</c:v>
                </c:pt>
              </c:numCache>
            </c:numRef>
          </c:xVal>
          <c:yVal>
            <c:numRef>
              <c:f>Sheet1!$I$49:$I$71</c:f>
              <c:numCache>
                <c:formatCode>General</c:formatCode>
                <c:ptCount val="23"/>
                <c:pt idx="0">
                  <c:v>0.3</c:v>
                </c:pt>
                <c:pt idx="1">
                  <c:v>0.525</c:v>
                </c:pt>
                <c:pt idx="2">
                  <c:v>0.4</c:v>
                </c:pt>
                <c:pt idx="3">
                  <c:v>0.3</c:v>
                </c:pt>
                <c:pt idx="4">
                  <c:v>0.325</c:v>
                </c:pt>
                <c:pt idx="5">
                  <c:v>0.4</c:v>
                </c:pt>
                <c:pt idx="6">
                  <c:v>0.275</c:v>
                </c:pt>
                <c:pt idx="7">
                  <c:v>0.4</c:v>
                </c:pt>
                <c:pt idx="8">
                  <c:v>0.75</c:v>
                </c:pt>
                <c:pt idx="9">
                  <c:v>0.4</c:v>
                </c:pt>
                <c:pt idx="10">
                  <c:v>0.525</c:v>
                </c:pt>
                <c:pt idx="11">
                  <c:v>0.4125</c:v>
                </c:pt>
                <c:pt idx="12">
                  <c:v>0.45</c:v>
                </c:pt>
                <c:pt idx="13">
                  <c:v>0.4</c:v>
                </c:pt>
                <c:pt idx="14">
                  <c:v>0.35</c:v>
                </c:pt>
                <c:pt idx="15">
                  <c:v>0.4</c:v>
                </c:pt>
                <c:pt idx="16">
                  <c:v>0.4</c:v>
                </c:pt>
                <c:pt idx="17">
                  <c:v>0.275</c:v>
                </c:pt>
                <c:pt idx="18">
                  <c:v>0.475</c:v>
                </c:pt>
                <c:pt idx="19">
                  <c:v>0.725</c:v>
                </c:pt>
                <c:pt idx="20">
                  <c:v>0.625</c:v>
                </c:pt>
                <c:pt idx="21">
                  <c:v>0.375</c:v>
                </c:pt>
                <c:pt idx="22">
                  <c:v>0.4</c:v>
                </c:pt>
              </c:numCache>
            </c:numRef>
          </c:yVal>
          <c:smooth val="0"/>
        </c:ser>
        <c:dLbls>
          <c:showLegendKey val="0"/>
          <c:showVal val="0"/>
          <c:showCatName val="0"/>
          <c:showSerName val="0"/>
          <c:showPercent val="0"/>
          <c:showBubbleSize val="0"/>
        </c:dLbls>
        <c:axId val="734956488"/>
        <c:axId val="734956848"/>
      </c:scatterChart>
      <c:valAx>
        <c:axId val="734956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56848"/>
        <c:crosses val="autoZero"/>
        <c:crossBetween val="midCat"/>
      </c:valAx>
      <c:valAx>
        <c:axId val="734956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56488"/>
        <c:crosses val="autoZero"/>
        <c:crossBetween val="midCat"/>
      </c:valAx>
      <c:spPr>
        <a:noFill/>
        <a:ln>
          <a:noFill/>
        </a:ln>
        <a:effectLst/>
      </c:spPr>
    </c:plotArea>
    <c:plotVisOnly val="1"/>
    <c:dispBlanksAs val="gap"/>
    <c:showDLblsOverMax val="0"/>
    <c:extLst>
      <c:ext uri="{0b15fc19-7d7d-44ad-8c2d-2c3a37ce22c3}">
        <chartProps xmlns="https://web.wps.cn/et/2018/main" chartId="{4e4b5ccd-657c-426e-a3cb-9c4a5dda9fda}"/>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scatterChart>
        <c:scatterStyle val="lineMarker"/>
        <c:varyColors val="0"/>
        <c:ser>
          <c:idx val="0"/>
          <c:order val="0"/>
          <c:tx>
            <c:strRef>
              <c:f>Sheet1!$G$47:$G$48</c:f>
              <c:strCache>
                <c:ptCount val="1"/>
                <c:pt idx="0">
                  <c:v>Philip Observed</c:v>
                </c:pt>
              </c:strCache>
            </c:strRef>
          </c:tx>
          <c:spPr>
            <a:ln w="19050" cap="rnd">
              <a:noFill/>
              <a:round/>
            </a:ln>
            <a:effectLst/>
          </c:spPr>
          <c:marker>
            <c:symbol val="circle"/>
            <c:size val="5"/>
            <c:spPr>
              <a:solidFill>
                <a:schemeClr val="accent4"/>
              </a:solidFill>
              <a:ln w="9525">
                <a:solidFill>
                  <a:schemeClr val="accent4"/>
                </a:solidFill>
              </a:ln>
              <a:effectLst/>
            </c:spPr>
          </c:marker>
          <c:dLbls>
            <c:delete val="1"/>
          </c:dLbls>
          <c:trendline>
            <c:spPr>
              <a:ln w="19050" cap="rnd">
                <a:solidFill>
                  <a:schemeClr val="accent4"/>
                </a:solidFill>
                <a:prstDash val="sysDot"/>
              </a:ln>
              <a:effectLst/>
            </c:spPr>
            <c:trendlineType val="linear"/>
            <c:dispRSqr val="0"/>
            <c:dispEq val="0"/>
          </c:trendline>
          <c:xVal>
            <c:numRef>
              <c:f>Sheet1!$F$49:$F$71</c:f>
              <c:numCache>
                <c:formatCode>General</c:formatCode>
                <c:ptCount val="23"/>
                <c:pt idx="0">
                  <c:v>0.375059654668567</c:v>
                </c:pt>
                <c:pt idx="1">
                  <c:v>0.599993214923525</c:v>
                </c:pt>
                <c:pt idx="2">
                  <c:v>0.299993988717492</c:v>
                </c:pt>
                <c:pt idx="3">
                  <c:v>0.341648501991668</c:v>
                </c:pt>
                <c:pt idx="4">
                  <c:v>0.587477477043674</c:v>
                </c:pt>
                <c:pt idx="5">
                  <c:v>0.312458616734663</c:v>
                </c:pt>
                <c:pt idx="6">
                  <c:v>0.375003087890179</c:v>
                </c:pt>
                <c:pt idx="7">
                  <c:v>0.350063757000756</c:v>
                </c:pt>
                <c:pt idx="8">
                  <c:v>0.447653019314245</c:v>
                </c:pt>
                <c:pt idx="9">
                  <c:v>0.349909855690734</c:v>
                </c:pt>
                <c:pt idx="10">
                  <c:v>0.325009522722797</c:v>
                </c:pt>
                <c:pt idx="11">
                  <c:v>0.349909855690734</c:v>
                </c:pt>
                <c:pt idx="12">
                  <c:v>0.325009522722797</c:v>
                </c:pt>
                <c:pt idx="13">
                  <c:v>0.475015698503155</c:v>
                </c:pt>
                <c:pt idx="14">
                  <c:v>0.30106161205655</c:v>
                </c:pt>
                <c:pt idx="15">
                  <c:v>0.30006161205655</c:v>
                </c:pt>
                <c:pt idx="16">
                  <c:v>0.500069932781114</c:v>
                </c:pt>
                <c:pt idx="17">
                  <c:v>0.150031078362559</c:v>
                </c:pt>
                <c:pt idx="18">
                  <c:v>0.150031078362559</c:v>
                </c:pt>
                <c:pt idx="19">
                  <c:v>0.174996473903692</c:v>
                </c:pt>
                <c:pt idx="20">
                  <c:v>0.397278448622496</c:v>
                </c:pt>
                <c:pt idx="21">
                  <c:v>0.62504423075587</c:v>
                </c:pt>
                <c:pt idx="22">
                  <c:v>0.250002144944206</c:v>
                </c:pt>
              </c:numCache>
            </c:numRef>
          </c:xVal>
          <c:yVal>
            <c:numRef>
              <c:f>Sheet1!$G$49:$G$71</c:f>
              <c:numCache>
                <c:formatCode>General</c:formatCode>
                <c:ptCount val="23"/>
                <c:pt idx="0">
                  <c:v>0.375</c:v>
                </c:pt>
                <c:pt idx="1">
                  <c:v>0.6</c:v>
                </c:pt>
                <c:pt idx="2">
                  <c:v>0.3</c:v>
                </c:pt>
                <c:pt idx="3">
                  <c:v>0.341666666666667</c:v>
                </c:pt>
                <c:pt idx="4">
                  <c:v>0.5875</c:v>
                </c:pt>
                <c:pt idx="5">
                  <c:v>0.3125</c:v>
                </c:pt>
                <c:pt idx="6">
                  <c:v>0.375</c:v>
                </c:pt>
                <c:pt idx="7">
                  <c:v>0.35</c:v>
                </c:pt>
                <c:pt idx="8">
                  <c:v>0.45</c:v>
                </c:pt>
                <c:pt idx="9">
                  <c:v>0.35</c:v>
                </c:pt>
                <c:pt idx="10">
                  <c:v>0.325</c:v>
                </c:pt>
                <c:pt idx="11">
                  <c:v>0.35</c:v>
                </c:pt>
                <c:pt idx="12">
                  <c:v>0.325</c:v>
                </c:pt>
                <c:pt idx="13">
                  <c:v>0.475</c:v>
                </c:pt>
                <c:pt idx="14">
                  <c:v>0.3</c:v>
                </c:pt>
                <c:pt idx="15">
                  <c:v>0.3</c:v>
                </c:pt>
                <c:pt idx="16">
                  <c:v>0.5</c:v>
                </c:pt>
                <c:pt idx="17">
                  <c:v>0.15</c:v>
                </c:pt>
                <c:pt idx="18">
                  <c:v>0.15</c:v>
                </c:pt>
                <c:pt idx="19">
                  <c:v>0.175</c:v>
                </c:pt>
                <c:pt idx="20">
                  <c:v>0.3625</c:v>
                </c:pt>
                <c:pt idx="21">
                  <c:v>0.625</c:v>
                </c:pt>
                <c:pt idx="22">
                  <c:v>0.25</c:v>
                </c:pt>
              </c:numCache>
            </c:numRef>
          </c:yVal>
          <c:smooth val="0"/>
        </c:ser>
        <c:dLbls>
          <c:showLegendKey val="0"/>
          <c:showVal val="0"/>
          <c:showCatName val="0"/>
          <c:showSerName val="0"/>
          <c:showPercent val="0"/>
          <c:showBubbleSize val="0"/>
        </c:dLbls>
        <c:axId val="734948928"/>
        <c:axId val="734950728"/>
      </c:scatterChart>
      <c:valAx>
        <c:axId val="734948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50728"/>
        <c:crosses val="autoZero"/>
        <c:crossBetween val="midCat"/>
      </c:valAx>
      <c:valAx>
        <c:axId val="734950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48928"/>
        <c:crosses val="autoZero"/>
        <c:crossBetween val="midCat"/>
      </c:valAx>
      <c:spPr>
        <a:noFill/>
        <a:ln>
          <a:noFill/>
        </a:ln>
        <a:effectLst/>
      </c:spPr>
    </c:plotArea>
    <c:plotVisOnly val="1"/>
    <c:dispBlanksAs val="gap"/>
    <c:showDLblsOverMax val="0"/>
    <c:extLst>
      <c:ext uri="{0b15fc19-7d7d-44ad-8c2d-2c3a37ce22c3}">
        <chartProps xmlns="https://web.wps.cn/et/2018/main" chartId="{8de63ebe-5f81-42a9-83ca-62adf14a5f6a}"/>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scatterChart>
        <c:scatterStyle val="lineMarker"/>
        <c:varyColors val="0"/>
        <c:ser>
          <c:idx val="0"/>
          <c:order val="0"/>
          <c:tx>
            <c:strRef>
              <c:f>Sheet1!$K$47:$K$48</c:f>
              <c:strCache>
                <c:ptCount val="1"/>
                <c:pt idx="0">
                  <c:v>Green Ampt's Observed</c:v>
                </c:pt>
              </c:strCache>
            </c:strRef>
          </c:tx>
          <c:spPr>
            <a:ln w="19050" cap="rnd">
              <a:noFill/>
              <a:round/>
            </a:ln>
            <a:effectLst/>
          </c:spPr>
          <c:marker>
            <c:symbol val="circle"/>
            <c:size val="5"/>
            <c:spPr>
              <a:solidFill>
                <a:schemeClr val="accent4"/>
              </a:solidFill>
              <a:ln w="9525">
                <a:solidFill>
                  <a:schemeClr val="accent4"/>
                </a:solidFill>
              </a:ln>
              <a:effectLst/>
            </c:spPr>
          </c:marker>
          <c:dLbls>
            <c:delete val="1"/>
          </c:dLbls>
          <c:trendline>
            <c:spPr>
              <a:ln w="19050" cap="rnd">
                <a:solidFill>
                  <a:schemeClr val="accent4"/>
                </a:solidFill>
                <a:prstDash val="sysDot"/>
              </a:ln>
              <a:effectLst/>
            </c:spPr>
            <c:trendlineType val="linear"/>
            <c:dispRSqr val="0"/>
            <c:dispEq val="0"/>
          </c:trendline>
          <c:xVal>
            <c:numRef>
              <c:f>Sheet1!$J$49:$J$71</c:f>
              <c:numCache>
                <c:formatCode>General</c:formatCode>
                <c:ptCount val="23"/>
                <c:pt idx="0">
                  <c:v>0.350009615384615</c:v>
                </c:pt>
                <c:pt idx="1">
                  <c:v>0.500120833333333</c:v>
                </c:pt>
                <c:pt idx="2">
                  <c:v>0.374891071428571</c:v>
                </c:pt>
                <c:pt idx="3">
                  <c:v>0.300021428571429</c:v>
                </c:pt>
                <c:pt idx="4">
                  <c:v>0.587478636363636</c:v>
                </c:pt>
                <c:pt idx="5">
                  <c:v>0.312352200577201</c:v>
                </c:pt>
                <c:pt idx="6">
                  <c:v>0.350033333333333</c:v>
                </c:pt>
                <c:pt idx="7">
                  <c:v>0.312352200577201</c:v>
                </c:pt>
                <c:pt idx="8">
                  <c:v>0.312352200577201</c:v>
                </c:pt>
                <c:pt idx="9">
                  <c:v>0.299941666666667</c:v>
                </c:pt>
                <c:pt idx="10">
                  <c:v>0.299941666666667</c:v>
                </c:pt>
                <c:pt idx="11">
                  <c:v>0.487480952380952</c:v>
                </c:pt>
                <c:pt idx="12">
                  <c:v>0.300025097125097</c:v>
                </c:pt>
                <c:pt idx="13">
                  <c:v>0.500004617604618</c:v>
                </c:pt>
                <c:pt idx="14">
                  <c:v>0.300021428571429</c:v>
                </c:pt>
                <c:pt idx="15">
                  <c:v>0.40011626984127</c:v>
                </c:pt>
                <c:pt idx="16">
                  <c:v>0.500004617604618</c:v>
                </c:pt>
                <c:pt idx="17">
                  <c:v>0.149925</c:v>
                </c:pt>
                <c:pt idx="18">
                  <c:v>0.149925</c:v>
                </c:pt>
                <c:pt idx="19">
                  <c:v>0.150117857142857</c:v>
                </c:pt>
                <c:pt idx="20">
                  <c:v>0.258608333333333</c:v>
                </c:pt>
                <c:pt idx="21">
                  <c:v>0.40011626984127</c:v>
                </c:pt>
                <c:pt idx="22">
                  <c:v>0.299941666666667</c:v>
                </c:pt>
              </c:numCache>
            </c:numRef>
          </c:xVal>
          <c:yVal>
            <c:numRef>
              <c:f>Sheet1!$K$49:$K$71</c:f>
              <c:numCache>
                <c:formatCode>General</c:formatCode>
                <c:ptCount val="23"/>
                <c:pt idx="0">
                  <c:v>0.35</c:v>
                </c:pt>
                <c:pt idx="1">
                  <c:v>0.5</c:v>
                </c:pt>
                <c:pt idx="2">
                  <c:v>0.375</c:v>
                </c:pt>
                <c:pt idx="3">
                  <c:v>0.3</c:v>
                </c:pt>
                <c:pt idx="4">
                  <c:v>0.5875</c:v>
                </c:pt>
                <c:pt idx="5">
                  <c:v>0.3125</c:v>
                </c:pt>
                <c:pt idx="6">
                  <c:v>0.35</c:v>
                </c:pt>
                <c:pt idx="7">
                  <c:v>0.3125</c:v>
                </c:pt>
                <c:pt idx="8">
                  <c:v>0.3125</c:v>
                </c:pt>
                <c:pt idx="9">
                  <c:v>0.3</c:v>
                </c:pt>
                <c:pt idx="10">
                  <c:v>0.3</c:v>
                </c:pt>
                <c:pt idx="11">
                  <c:v>0.4875</c:v>
                </c:pt>
                <c:pt idx="12">
                  <c:v>0.3</c:v>
                </c:pt>
                <c:pt idx="13">
                  <c:v>0.5</c:v>
                </c:pt>
                <c:pt idx="14">
                  <c:v>0.3</c:v>
                </c:pt>
                <c:pt idx="15">
                  <c:v>0.4</c:v>
                </c:pt>
                <c:pt idx="16">
                  <c:v>0.5</c:v>
                </c:pt>
                <c:pt idx="17">
                  <c:v>0.15</c:v>
                </c:pt>
                <c:pt idx="18">
                  <c:v>0.15</c:v>
                </c:pt>
                <c:pt idx="19">
                  <c:v>0.15</c:v>
                </c:pt>
                <c:pt idx="20">
                  <c:v>0.2875</c:v>
                </c:pt>
                <c:pt idx="21">
                  <c:v>0.4</c:v>
                </c:pt>
                <c:pt idx="22">
                  <c:v>0.3</c:v>
                </c:pt>
              </c:numCache>
            </c:numRef>
          </c:yVal>
          <c:smooth val="0"/>
        </c:ser>
        <c:dLbls>
          <c:showLegendKey val="0"/>
          <c:showVal val="0"/>
          <c:showCatName val="0"/>
          <c:showSerName val="0"/>
          <c:showPercent val="0"/>
          <c:showBubbleSize val="0"/>
        </c:dLbls>
        <c:axId val="734959728"/>
        <c:axId val="734960448"/>
      </c:scatterChart>
      <c:valAx>
        <c:axId val="734959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Observed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60448"/>
        <c:crosses val="autoZero"/>
        <c:crossBetween val="midCat"/>
      </c:valAx>
      <c:valAx>
        <c:axId val="73496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r>
                  <a:rPr lang="en-US" sz="600" b="0" i="0" u="none" strike="noStrike" kern="1200" baseline="0">
                    <a:solidFill>
                      <a:sysClr val="windowText" lastClr="000000">
                        <a:lumMod val="65000"/>
                        <a:lumOff val="35000"/>
                      </a:sysClr>
                    </a:solidFill>
                  </a:rPr>
                  <a:t>Simulated infiltration (cm/hr)</a:t>
                </a:r>
                <a:endParaRPr lang="en-US" sz="600" b="0" i="0" u="none" strike="noStrike" kern="1200" baseline="0">
                  <a:solidFill>
                    <a:sysClr val="windowText" lastClr="000000">
                      <a:lumMod val="65000"/>
                      <a:lumOff val="35000"/>
                    </a:sysClr>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600" b="0" i="0" u="none" strike="noStrike" kern="1200" baseline="0">
                <a:solidFill>
                  <a:schemeClr val="tx1">
                    <a:lumMod val="65000"/>
                    <a:lumOff val="35000"/>
                  </a:schemeClr>
                </a:solidFill>
                <a:latin typeface="+mn-lt"/>
                <a:ea typeface="+mn-ea"/>
                <a:cs typeface="+mn-cs"/>
              </a:defRPr>
            </a:pPr>
          </a:p>
        </c:txPr>
        <c:crossAx val="734959728"/>
        <c:crosses val="autoZero"/>
        <c:crossBetween val="midCat"/>
      </c:valAx>
      <c:spPr>
        <a:noFill/>
        <a:ln>
          <a:noFill/>
        </a:ln>
        <a:effectLst/>
      </c:spPr>
    </c:plotArea>
    <c:plotVisOnly val="1"/>
    <c:dispBlanksAs val="gap"/>
    <c:showDLblsOverMax val="0"/>
    <c:extLst>
      <c:ext uri="{0b15fc19-7d7d-44ad-8c2d-2c3a37ce22c3}">
        <chartProps xmlns="https://web.wps.cn/et/2018/main" chartId="{2b147d47-623b-4f39-9bc4-10727fe0f195}"/>
      </c:ext>
    </c:extLst>
  </c:chart>
  <c:spPr>
    <a:solidFill>
      <a:schemeClr val="bg1"/>
    </a:solidFill>
    <a:ln w="9525" cap="flat" cmpd="sng" algn="ctr">
      <a:solidFill>
        <a:schemeClr val="tx1">
          <a:lumMod val="15000"/>
          <a:lumOff val="85000"/>
        </a:schemeClr>
      </a:solidFill>
      <a:round/>
    </a:ln>
    <a:effectLst/>
  </c:spPr>
  <c:txPr>
    <a:bodyPr/>
    <a:lstStyle/>
    <a:p>
      <a:pPr>
        <a:defRPr lang="zh-CN" sz="600" b="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5">
  <a:schemeClr val="accent5"/>
</cs:colorStyle>
</file>

<file path=word/charts/colors5.xml><?xml version="1.0" encoding="utf-8"?>
<cs:colorStyle xmlns:cs="http://schemas.microsoft.com/office/drawing/2012/chartStyle" xmlns:a="http://schemas.openxmlformats.org/drawingml/2006/main" meth="withinLinearReversed" id="26">
  <a:schemeClr val="accent6"/>
</cs:colorStyle>
</file>

<file path=word/charts/colors6.xml><?xml version="1.0" encoding="utf-8"?>
<cs:colorStyle xmlns:cs="http://schemas.microsoft.com/office/drawing/2012/chartStyle" xmlns:a="http://schemas.openxmlformats.org/drawingml/2006/main" meth="withinLinear" id="19">
  <a:schemeClr val="accent6"/>
</cs:colorStyle>
</file>

<file path=word/charts/colors7.xml><?xml version="1.0" encoding="utf-8"?>
<cs:colorStyle xmlns:cs="http://schemas.microsoft.com/office/drawing/2012/chartStyle" xmlns:a="http://schemas.openxmlformats.org/drawingml/2006/main" meth="withinLinear" id="19">
  <a:schemeClr val="accent6"/>
</cs:colorStyle>
</file>

<file path=word/charts/colors8.xml><?xml version="1.0" encoding="utf-8"?>
<cs:colorStyle xmlns:cs="http://schemas.microsoft.com/office/drawing/2012/chartStyle" xmlns:a="http://schemas.openxmlformats.org/drawingml/2006/main" meth="withinLinear" id="19">
  <a:schemeClr val="accent6"/>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withinLinear" id="18">
  <a:schemeClr val="accent5"/>
</cs:colorStyle>
</file>

<file path=word/charts/colors18.xml><?xml version="1.0" encoding="utf-8"?>
<cs:colorStyle xmlns:cs="http://schemas.microsoft.com/office/drawing/2012/chartStyle" xmlns:a="http://schemas.openxmlformats.org/drawingml/2006/main" meth="withinLinear" id="18">
  <a:schemeClr val="accent5"/>
</cs:colorStyle>
</file>

<file path=word/charts/colors19.xml><?xml version="1.0" encoding="utf-8"?>
<cs:colorStyle xmlns:cs="http://schemas.microsoft.com/office/drawing/2012/chartStyle" xmlns:a="http://schemas.openxmlformats.org/drawingml/2006/main" meth="withinLinear" id="18">
  <a:schemeClr val="accent5"/>
</cs:colorStyle>
</file>

<file path=word/charts/colors20.xml><?xml version="1.0" encoding="utf-8"?>
<cs:colorStyle xmlns:cs="http://schemas.microsoft.com/office/drawing/2012/chartStyle" xmlns:a="http://schemas.openxmlformats.org/drawingml/2006/main" meth="withinLinear" id="18">
  <a:schemeClr val="accent5"/>
</cs:colorStyle>
</file>

<file path=word/charts/colors21.xml><?xml version="1.0" encoding="utf-8"?>
<cs:colorStyle xmlns:cs="http://schemas.microsoft.com/office/drawing/2012/chartStyle" xmlns:a="http://schemas.openxmlformats.org/drawingml/2006/main" meth="withinLinearReversed" id="24">
  <a:schemeClr val="accent4"/>
</cs:colorStyle>
</file>

<file path=word/charts/colors22.xml><?xml version="1.0" encoding="utf-8"?>
<cs:colorStyle xmlns:cs="http://schemas.microsoft.com/office/drawing/2012/chartStyle" xmlns:a="http://schemas.openxmlformats.org/drawingml/2006/main" meth="withinLinearReversed" id="24">
  <a:schemeClr val="accent4"/>
</cs:colorStyle>
</file>

<file path=word/charts/colors23.xml><?xml version="1.0" encoding="utf-8"?>
<cs:colorStyle xmlns:cs="http://schemas.microsoft.com/office/drawing/2012/chartStyle" xmlns:a="http://schemas.openxmlformats.org/drawingml/2006/main" meth="withinLinearReversed" id="24">
  <a:schemeClr val="accent4"/>
</cs:colorStyle>
</file>

<file path=word/charts/colors24.xml><?xml version="1.0" encoding="utf-8"?>
<cs:colorStyle xmlns:cs="http://schemas.microsoft.com/office/drawing/2012/chartStyle" xmlns:a="http://schemas.openxmlformats.org/drawingml/2006/main" meth="withinLinearReversed" id="24">
  <a:schemeClr val="accent4"/>
</cs:colorStyle>
</file>

<file path=word/charts/colors25.xml><?xml version="1.0" encoding="utf-8"?>
<cs:colorStyle xmlns:cs="http://schemas.microsoft.com/office/drawing/2012/chartStyle" xmlns:a="http://schemas.openxmlformats.org/drawingml/2006/main" meth="withinLinear" id="18">
  <a:schemeClr val="accent5"/>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withinLinearReversed" id="25">
  <a:schemeClr val="accent5"/>
</cs:colorStyle>
</file>

<file path=word/charts/colors2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IEEE" Version="2006" SelectedStyle="\IEEE2006OfficeOnline.xsl">
  <b:Source xmlns:b="http://schemas.openxmlformats.org/officeDocument/2006/bibliography">
    <b:Tag xmlns:b="http://schemas.openxmlformats.org/officeDocument/2006/bibliography">Ang13</b:Tag>
    <b:SourceType xmlns:b="http://schemas.openxmlformats.org/officeDocument/2006/bibliography">JournalArticle</b:SourceType>
    <b:Guid xmlns:b="http://schemas.openxmlformats.org/officeDocument/2006/bibliography">{DA299907-8726-4066-AC34-963A17DCBF61}</b:Guid>
    <b:Title xmlns:b="http://schemas.openxmlformats.org/officeDocument/2006/bibliography">Theoretical and Experimental Research of Cumulative Infiltration</b:Title>
    <b:JournalName xmlns:b="http://schemas.openxmlformats.org/officeDocument/2006/bibliography">Transport in Porous Media,</b:JournalName>
    <b:Year xmlns:b="http://schemas.openxmlformats.org/officeDocument/2006/bibliography">2013</b:Year>
    <b:Pages xmlns:b="http://schemas.openxmlformats.org/officeDocument/2006/bibliography">247-257</b:Pages>
    <b:Volume xmlns:b="http://schemas.openxmlformats.org/officeDocument/2006/bibliography">100</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Angelaki</b:Last>
            <b:First xmlns:b="http://schemas.openxmlformats.org/officeDocument/2006/bibliography">A. </b:First>
          </b:Person>
          <b:Person xmlns:b="http://schemas.openxmlformats.org/officeDocument/2006/bibliography">
            <b:Last xmlns:b="http://schemas.openxmlformats.org/officeDocument/2006/bibliography">Sakellariou-Makrantonaki · </b:Last>
            <b:First xmlns:b="http://schemas.openxmlformats.org/officeDocument/2006/bibliography">M. </b:First>
          </b:Person>
          <b:Person xmlns:b="http://schemas.openxmlformats.org/officeDocument/2006/bibliography">
            <b:Last xmlns:b="http://schemas.openxmlformats.org/officeDocument/2006/bibliography">Tzimopoulos</b:Last>
            <b:First xmlns:b="http://schemas.openxmlformats.org/officeDocument/2006/bibliography">C. </b:First>
          </b:Person>
        </b:NameList>
      </b:Author>
    </b:Author>
    <b:RefOrder xmlns:b="http://schemas.openxmlformats.org/officeDocument/2006/bibliography">2</b:RefOrder>
  </b:Source>
  <b:Source xmlns:b="http://schemas.openxmlformats.org/officeDocument/2006/bibliography">
    <b:Tag xmlns:b="http://schemas.openxmlformats.org/officeDocument/2006/bibliography">Ogb00</b:Tag>
    <b:SourceType xmlns:b="http://schemas.openxmlformats.org/officeDocument/2006/bibliography">ConferenceProceedings</b:SourceType>
    <b:Guid xmlns:b="http://schemas.openxmlformats.org/officeDocument/2006/bibliography">{5C8EC22B-7F63-4E64-B5F1-B20BB8331E77}</b:Guid>
    <b:Title xmlns:b="http://schemas.openxmlformats.org/officeDocument/2006/bibliography">Infiltration Characteristics and Erosion Potentials of Catenary Soils in Southeastern, Nigeria</b:Title>
    <b:Year xmlns:b="http://schemas.openxmlformats.org/officeDocument/2006/bibliography">2000</b:Year>
    <b:City xmlns:b="http://schemas.openxmlformats.org/officeDocument/2006/bibliography">Ibadan, Nigeria</b:City>
    <b:Publisher xmlns:b="http://schemas.openxmlformats.org/officeDocument/2006/bibliography">Annual Conference of the Soil Science Society of Nigeria</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Ogban</b:Last>
            <b:First xmlns:b="http://schemas.openxmlformats.org/officeDocument/2006/bibliography">P.L</b:First>
          </b:Person>
          <b:Person xmlns:b="http://schemas.openxmlformats.org/officeDocument/2006/bibliography">
            <b:Last xmlns:b="http://schemas.openxmlformats.org/officeDocument/2006/bibliography">Madeakor</b:Last>
            <b:First xmlns:b="http://schemas.openxmlformats.org/officeDocument/2006/bibliography">O</b:First>
          </b:Person>
          <b:Person xmlns:b="http://schemas.openxmlformats.org/officeDocument/2006/bibliography">
            <b:Last xmlns:b="http://schemas.openxmlformats.org/officeDocument/2006/bibliography">Akwe</b:Last>
            <b:First xmlns:b="http://schemas.openxmlformats.org/officeDocument/2006/bibliography">I.P</b:First>
          </b:Person>
        </b:NameList>
      </b:Author>
    </b:Author>
    <b:RefOrder xmlns:b="http://schemas.openxmlformats.org/officeDocument/2006/bibliography">4</b:RefOrder>
  </b:Source>
  <b:Source xmlns:b="http://schemas.openxmlformats.org/officeDocument/2006/bibliography">
    <b:Tag xmlns:b="http://schemas.openxmlformats.org/officeDocument/2006/bibliography">Ade13</b:Tag>
    <b:SourceType xmlns:b="http://schemas.openxmlformats.org/officeDocument/2006/bibliography">JournalArticle</b:SourceType>
    <b:Guid xmlns:b="http://schemas.openxmlformats.org/officeDocument/2006/bibliography">{5104942B-7F86-4E4D-9D91-9114296B1148}</b:Guid>
    <b:Title xmlns:b="http://schemas.openxmlformats.org/officeDocument/2006/bibliography">Variation of Infiltration Rates with Soil Texture</b:Title>
    <b:Year xmlns:b="http://schemas.openxmlformats.org/officeDocument/2006/bibliography">2013</b:Year>
    <b:JournalName xmlns:b="http://schemas.openxmlformats.org/officeDocument/2006/bibliography">International Journal of Engneering and Innovative Technology</b:JournalName>
    <b:Pages xmlns:b="http://schemas.openxmlformats.org/officeDocument/2006/bibliography">454-459</b:Pages>
    <b:Volume xmlns:b="http://schemas.openxmlformats.org/officeDocument/2006/bibliography">3</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Adeniji</b:Last>
            <b:First xmlns:b="http://schemas.openxmlformats.org/officeDocument/2006/bibliography">F.A</b:First>
          </b:Person>
          <b:Person xmlns:b="http://schemas.openxmlformats.org/officeDocument/2006/bibliography">
            <b:Last xmlns:b="http://schemas.openxmlformats.org/officeDocument/2006/bibliography">Umara</b:Last>
            <b:First xmlns:b="http://schemas.openxmlformats.org/officeDocument/2006/bibliography">B.G</b:First>
          </b:Person>
          <b:Person xmlns:b="http://schemas.openxmlformats.org/officeDocument/2006/bibliography">
            <b:Last xmlns:b="http://schemas.openxmlformats.org/officeDocument/2006/bibliography">Dibal</b:Last>
            <b:First xmlns:b="http://schemas.openxmlformats.org/officeDocument/2006/bibliography">J.M</b:First>
          </b:Person>
          <b:Person xmlns:b="http://schemas.openxmlformats.org/officeDocument/2006/bibliography">
            <b:Last xmlns:b="http://schemas.openxmlformats.org/officeDocument/2006/bibliography">Amali</b:Last>
            <b:First xmlns:b="http://schemas.openxmlformats.org/officeDocument/2006/bibliography">A.A</b:First>
          </b:Person>
        </b:NameList>
      </b:Author>
    </b:Author>
    <b:RefOrder xmlns:b="http://schemas.openxmlformats.org/officeDocument/2006/bibliography">5</b:RefOrder>
  </b:Source>
  <b:Source xmlns:b="http://schemas.openxmlformats.org/officeDocument/2006/bibliography">
    <b:Tag xmlns:b="http://schemas.openxmlformats.org/officeDocument/2006/bibliography">Mis99</b:Tag>
    <b:SourceType xmlns:b="http://schemas.openxmlformats.org/officeDocument/2006/bibliography">JournalArticle</b:SourceType>
    <b:Guid xmlns:b="http://schemas.openxmlformats.org/officeDocument/2006/bibliography">{7601382A-EF19-4AC5-86F2-2EC6F86C1E81}</b:Guid>
    <b:Title xmlns:b="http://schemas.openxmlformats.org/officeDocument/2006/bibliography">Another look at the SCS-CN method.</b:Title>
    <b:JournalName xmlns:b="http://schemas.openxmlformats.org/officeDocument/2006/bibliography">Journal of Hydrologic Engineering, ASCE</b:JournalName>
    <b:Year xmlns:b="http://schemas.openxmlformats.org/officeDocument/2006/bibliography">1999</b:Year>
    <b:Pages xmlns:b="http://schemas.openxmlformats.org/officeDocument/2006/bibliography">257–264</b:Pages>
    <b:Volume xmlns:b="http://schemas.openxmlformats.org/officeDocument/2006/bibliography">4</b:Volume>
    <b:Issue xmlns:b="http://schemas.openxmlformats.org/officeDocument/2006/bibliography">(3)</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Mishra </b:Last>
            <b:First xmlns:b="http://schemas.openxmlformats.org/officeDocument/2006/bibliography">S.K</b:First>
          </b:Person>
          <b:Person xmlns:b="http://schemas.openxmlformats.org/officeDocument/2006/bibliography">
            <b:Last xmlns:b="http://schemas.openxmlformats.org/officeDocument/2006/bibliography">Singh</b:Last>
            <b:First xmlns:b="http://schemas.openxmlformats.org/officeDocument/2006/bibliography">V,P</b:First>
          </b:Person>
        </b:NameList>
      </b:Author>
    </b:Author>
    <b:RefOrder xmlns:b="http://schemas.openxmlformats.org/officeDocument/2006/bibliography">6</b:RefOrder>
  </b:Source>
  <b:Source xmlns:b="http://schemas.openxmlformats.org/officeDocument/2006/bibliography">
    <b:Tag xmlns:b="http://schemas.openxmlformats.org/officeDocument/2006/bibliography">Tur06</b:Tag>
    <b:SourceType xmlns:b="http://schemas.openxmlformats.org/officeDocument/2006/bibliography">Report</b:SourceType>
    <b:Guid xmlns:b="http://schemas.openxmlformats.org/officeDocument/2006/bibliography">{FF3DE288-3C33-4872-B7F0-AFC7E7C4DCF0}</b:Guid>
    <b:Title xmlns:b="http://schemas.openxmlformats.org/officeDocument/2006/bibliography">Comparison of Infiltration Equations and Their Field Validation with Rainfall Simulation</b:Title>
    <b:Year xmlns:b="http://schemas.openxmlformats.org/officeDocument/2006/bibliography">2006</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Turner</b:Last>
            <b:First xmlns:b="http://schemas.openxmlformats.org/officeDocument/2006/bibliography">E.R</b:First>
          </b:Person>
        </b:NameList>
      </b:Author>
    </b:Author>
    <b:Publisher xmlns:b="http://schemas.openxmlformats.org/officeDocument/2006/bibliography">PhD Thesis, University of Maryland</b:Publisher>
    <b:City xmlns:b="http://schemas.openxmlformats.org/officeDocument/2006/bibliography">Baltimore, MD.</b:City>
    <b:RefOrder xmlns:b="http://schemas.openxmlformats.org/officeDocument/2006/bibliography">18</b:RefOrder>
  </b:Source>
  <b:Source xmlns:b="http://schemas.openxmlformats.org/officeDocument/2006/bibliography">
    <b:Tag xmlns:b="http://schemas.openxmlformats.org/officeDocument/2006/bibliography">Gif76</b:Tag>
    <b:SourceType xmlns:b="http://schemas.openxmlformats.org/officeDocument/2006/bibliography">JournalArticle</b:SourceType>
    <b:Guid xmlns:b="http://schemas.openxmlformats.org/officeDocument/2006/bibliography">{24D7B136-19C3-4BD5-81D0-EE5CB113F6FB}</b:Guid>
    <b:Title xmlns:b="http://schemas.openxmlformats.org/officeDocument/2006/bibliography">Applicability of some infiltration formulae to rangeland infiltrometer data</b:Title>
    <b:Year xmlns:b="http://schemas.openxmlformats.org/officeDocument/2006/bibliography">1976</b:Year>
    <b:JournalName xmlns:b="http://schemas.openxmlformats.org/officeDocument/2006/bibliography">Journal of Hydrology</b:JournalName>
    <b:Pages xmlns:b="http://schemas.openxmlformats.org/officeDocument/2006/bibliography">1-11</b:Pages>
    <b:Volume xmlns:b="http://schemas.openxmlformats.org/officeDocument/2006/bibliography">28</b:Volume>
    <b:Issue xmlns:b="http://schemas.openxmlformats.org/officeDocument/2006/bibliography">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Gifford</b:Last>
            <b:First xmlns:b="http://schemas.openxmlformats.org/officeDocument/2006/bibliography">Gerald F. </b:First>
          </b:Person>
        </b:NameList>
      </b:Author>
    </b:Author>
    <b:RefOrder xmlns:b="http://schemas.openxmlformats.org/officeDocument/2006/bibliography">26</b:RefOrder>
  </b:Source>
  <b:Source xmlns:b="http://schemas.openxmlformats.org/officeDocument/2006/bibliography">
    <b:Tag xmlns:b="http://schemas.openxmlformats.org/officeDocument/2006/bibliography">Roo05</b:Tag>
    <b:SourceType xmlns:b="http://schemas.openxmlformats.org/officeDocument/2006/bibliography">ConferenceProceedings</b:SourceType>
    <b:Guid xmlns:b="http://schemas.openxmlformats.org/officeDocument/2006/bibliography">{7C7CE17E-DCA3-4DE1-B00E-2C648BE6F7FB}</b:Guid>
    <b:Title xmlns:b="http://schemas.openxmlformats.org/officeDocument/2006/bibliography">Horton’s infiltration model calibration in Nimrod watershed, Firoozkooh, Tehran province</b:Title>
    <b:Year xmlns:b="http://schemas.openxmlformats.org/officeDocument/2006/bibliography">2005</b:Year>
    <b:Publisher xmlns:b="http://schemas.openxmlformats.org/officeDocument/2006/bibliography">Erosion &amp; Sediment National Conference,Teheran.</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Roohian </b:Last>
            <b:First xmlns:b="http://schemas.openxmlformats.org/officeDocument/2006/bibliography">M,H</b:First>
          </b:Person>
          <b:Person xmlns:b="http://schemas.openxmlformats.org/officeDocument/2006/bibliography">
            <b:Last xmlns:b="http://schemas.openxmlformats.org/officeDocument/2006/bibliography">Miring</b:Last>
            <b:First xmlns:b="http://schemas.openxmlformats.org/officeDocument/2006/bibliography">U.A</b:First>
          </b:Person>
          <b:Person xmlns:b="http://schemas.openxmlformats.org/officeDocument/2006/bibliography">
            <b:Last xmlns:b="http://schemas.openxmlformats.org/officeDocument/2006/bibliography">Saghafian</b:Last>
            <b:First xmlns:b="http://schemas.openxmlformats.org/officeDocument/2006/bibliography">B.</b:First>
          </b:Person>
          <b:Person xmlns:b="http://schemas.openxmlformats.org/officeDocument/2006/bibliography">
            <b:Last xmlns:b="http://schemas.openxmlformats.org/officeDocument/2006/bibliography">Delafkar</b:Last>
            <b:First xmlns:b="http://schemas.openxmlformats.org/officeDocument/2006/bibliography">H.</b:First>
          </b:Person>
        </b:NameList>
      </b:Author>
    </b:Author>
    <b:RefOrder xmlns:b="http://schemas.openxmlformats.org/officeDocument/2006/bibliography">19</b:RefOrder>
  </b:Source>
  <b:Source xmlns:b="http://schemas.openxmlformats.org/officeDocument/2006/bibliography">
    <b:Tag xmlns:b="http://schemas.openxmlformats.org/officeDocument/2006/bibliography">Haj06</b:Tag>
    <b:SourceType xmlns:b="http://schemas.openxmlformats.org/officeDocument/2006/bibliography">ConferenceProceedings</b:SourceType>
    <b:Guid xmlns:b="http://schemas.openxmlformats.org/officeDocument/2006/bibliography">{EAA924C7-7061-45A4-8135-EA92DD964A51}</b:Guid>
    <b:Title xmlns:b="http://schemas.openxmlformats.org/officeDocument/2006/bibliography">Evaluation of Kostiakov, Horton and Philip's Infiltration Equations as Affected by Tillage and Rotation Systems in a Clay-Loam Soil of Northwest Iran</b:Title>
    <b:Year xmlns:b="http://schemas.openxmlformats.org/officeDocument/2006/bibliography">2006</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Hajabbasi</b:Last>
            <b:First xmlns:b="http://schemas.openxmlformats.org/officeDocument/2006/bibliography">Mohammad A. </b:First>
          </b:Person>
        </b:NameList>
      </b:Author>
    </b:Author>
    <b:City xmlns:b="http://schemas.openxmlformats.org/officeDocument/2006/bibliography">Pennsylvania, USA</b:City>
    <b:Publisher xmlns:b="http://schemas.openxmlformats.org/officeDocument/2006/bibliography"> 18th World Congress of Soil Science</b:Publisher>
    <b:RefOrder xmlns:b="http://schemas.openxmlformats.org/officeDocument/2006/bibliography">27</b:RefOrder>
  </b:Source>
  <b:Source xmlns:b="http://schemas.openxmlformats.org/officeDocument/2006/bibliography">
    <b:Tag xmlns:b="http://schemas.openxmlformats.org/officeDocument/2006/bibliography">Ogb11</b:Tag>
    <b:SourceType xmlns:b="http://schemas.openxmlformats.org/officeDocument/2006/bibliography">JournalArticle</b:SourceType>
    <b:Guid xmlns:b="http://schemas.openxmlformats.org/officeDocument/2006/bibliography">{AF3C58BB-D063-44FE-8C4C-BB561CB09118}</b:Guid>
    <b:Title xmlns:b="http://schemas.openxmlformats.org/officeDocument/2006/bibliography">Comparison of Four Soil Infiltration Models on A Sandy Soil In Lafia, Southern Guinea Savanna Zone of Nigeria</b:Title>
    <b:JournalName xmlns:b="http://schemas.openxmlformats.org/officeDocument/2006/bibliography">Production Agriculture and Technology, Nasarawa State University Journal</b:JournalName>
    <b:Year xmlns:b="http://schemas.openxmlformats.org/officeDocument/2006/bibliography">2011</b:Year>
    <b:Pages xmlns:b="http://schemas.openxmlformats.org/officeDocument/2006/bibliography">116-126</b:Pages>
    <b:Volume xmlns:b="http://schemas.openxmlformats.org/officeDocument/2006/bibliography">7</b:Volume>
    <b:Issue xmlns:b="http://schemas.openxmlformats.org/officeDocument/2006/bibliography">2</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Ogbe</b:Last>
            <b:First xmlns:b="http://schemas.openxmlformats.org/officeDocument/2006/bibliography">V.B</b:First>
          </b:Person>
          <b:Person xmlns:b="http://schemas.openxmlformats.org/officeDocument/2006/bibliography">
            <b:Last xmlns:b="http://schemas.openxmlformats.org/officeDocument/2006/bibliography">Jayeoba</b:Last>
            <b:First xmlns:b="http://schemas.openxmlformats.org/officeDocument/2006/bibliography">O.J</b:First>
          </b:Person>
          <b:Person xmlns:b="http://schemas.openxmlformats.org/officeDocument/2006/bibliography">
            <b:Last xmlns:b="http://schemas.openxmlformats.org/officeDocument/2006/bibliography">Ode</b:Last>
            <b:First xmlns:b="http://schemas.openxmlformats.org/officeDocument/2006/bibliography">S.O</b:First>
          </b:Person>
        </b:NameList>
      </b:Author>
    </b:Author>
    <b:RefOrder xmlns:b="http://schemas.openxmlformats.org/officeDocument/2006/bibliography">28</b:RefOrder>
  </b:Source>
  <b:Source xmlns:b="http://schemas.openxmlformats.org/officeDocument/2006/bibliography">
    <b:Tag xmlns:b="http://schemas.openxmlformats.org/officeDocument/2006/bibliography">JSD12</b:Tag>
    <b:SourceType xmlns:b="http://schemas.openxmlformats.org/officeDocument/2006/bibliography">JournalArticle</b:SourceType>
    <b:Guid xmlns:b="http://schemas.openxmlformats.org/officeDocument/2006/bibliography">{CCE1E306-1C4D-4054-8C06-294A50D89E81}</b:Guid>
    <b:Title xmlns:b="http://schemas.openxmlformats.org/officeDocument/2006/bibliography">Infiltration Studies of Different Soils under Different Soil Conditions and Comparison of Infiltration Models with Field Data</b:Title>
    <b:JournalName xmlns:b="http://schemas.openxmlformats.org/officeDocument/2006/bibliography">International Journal of Advance Engineering Technolog</b:JournalName>
    <b:Year xmlns:b="http://schemas.openxmlformats.org/officeDocument/2006/bibliography">2012</b:Year>
    <b:Pages xmlns:b="http://schemas.openxmlformats.org/officeDocument/2006/bibliography">154-157</b:Pages>
    <b:Volume xmlns:b="http://schemas.openxmlformats.org/officeDocument/2006/bibliography">3</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Dagadu</b:Last>
            <b:First xmlns:b="http://schemas.openxmlformats.org/officeDocument/2006/bibliography">J.S</b:First>
          </b:Person>
          <b:Person xmlns:b="http://schemas.openxmlformats.org/officeDocument/2006/bibliography">
            <b:Last xmlns:b="http://schemas.openxmlformats.org/officeDocument/2006/bibliography">Nimbalkar</b:Last>
            <b:First xmlns:b="http://schemas.openxmlformats.org/officeDocument/2006/bibliography">P.T</b:First>
          </b:Person>
        </b:NameList>
      </b:Author>
    </b:Author>
    <b:RefOrder xmlns:b="http://schemas.openxmlformats.org/officeDocument/2006/bibliography">20</b:RefOrder>
  </b:Source>
  <b:Source xmlns:b="http://schemas.openxmlformats.org/officeDocument/2006/bibliography">
    <b:Tag xmlns:b="http://schemas.openxmlformats.org/officeDocument/2006/bibliography">Mac06</b:Tag>
    <b:SourceType xmlns:b="http://schemas.openxmlformats.org/officeDocument/2006/bibliography">JournalArticle</b:SourceType>
    <b:Guid xmlns:b="http://schemas.openxmlformats.org/officeDocument/2006/bibliography">{EB0B740B-C9B3-4192-AF02-33E63FA0A06D}</b:Guid>
    <b:Title xmlns:b="http://schemas.openxmlformats.org/officeDocument/2006/bibliography">Modelling Infiltration and quantifying Spatial Soil Variability in a Wasteland of Kharagpur, India</b:Title>
    <b:Year xmlns:b="http://schemas.openxmlformats.org/officeDocument/2006/bibliography">2006</b:Year>
    <b:JournalName xmlns:b="http://schemas.openxmlformats.org/officeDocument/2006/bibliography">Biosystems Engineering</b:JournalName>
    <b:Pages xmlns:b="http://schemas.openxmlformats.org/officeDocument/2006/bibliography">569-582</b:Pages>
    <b:Volume xmlns:b="http://schemas.openxmlformats.org/officeDocument/2006/bibliography">95</b:Volume>
    <b:Issue xmlns:b="http://schemas.openxmlformats.org/officeDocument/2006/bibliography">4</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Machiwal </b:Last>
            <b:First xmlns:b="http://schemas.openxmlformats.org/officeDocument/2006/bibliography">Deepesh </b:First>
          </b:Person>
          <b:Person xmlns:b="http://schemas.openxmlformats.org/officeDocument/2006/bibliography">
            <b:Last xmlns:b="http://schemas.openxmlformats.org/officeDocument/2006/bibliography">K. Jha</b:Last>
            <b:First xmlns:b="http://schemas.openxmlformats.org/officeDocument/2006/bibliography">Madan </b:First>
          </b:Person>
          <b:Person xmlns:b="http://schemas.openxmlformats.org/officeDocument/2006/bibliography">
            <b:Last xmlns:b="http://schemas.openxmlformats.org/officeDocument/2006/bibliography">Mal </b:Last>
            <b:First xmlns:b="http://schemas.openxmlformats.org/officeDocument/2006/bibliography">B.C. </b:First>
          </b:Person>
        </b:NameList>
      </b:Author>
    </b:Author>
    <b:RefOrder xmlns:b="http://schemas.openxmlformats.org/officeDocument/2006/bibliography">29</b:RefOrder>
  </b:Source>
  <b:Source xmlns:b="http://schemas.openxmlformats.org/officeDocument/2006/bibliography">
    <b:Tag xmlns:b="http://schemas.openxmlformats.org/officeDocument/2006/bibliography">Sin18</b:Tag>
    <b:SourceType xmlns:b="http://schemas.openxmlformats.org/officeDocument/2006/bibliography">JournalArticle</b:SourceType>
    <b:Guid xmlns:b="http://schemas.openxmlformats.org/officeDocument/2006/bibliography">{91BF51DB-F3C8-486C-A5F9-F66D0DD88B10}</b:Guid>
    <b:Title xmlns:b="http://schemas.openxmlformats.org/officeDocument/2006/bibliography">Comparison of Infiltration Models in NIT Kurukshetra Campus</b:Title>
    <b:JournalName xmlns:b="http://schemas.openxmlformats.org/officeDocument/2006/bibliography">Applied Water Science</b:JournalName>
    <b:Year xmlns:b="http://schemas.openxmlformats.org/officeDocument/2006/bibliography">2018</b:Year>
    <b:Pages xmlns:b="http://schemas.openxmlformats.org/officeDocument/2006/bibliography">1-8</b:Pages>
    <b:Volume xmlns:b="http://schemas.openxmlformats.org/officeDocument/2006/bibliography">8</b:Volume>
    <b:Issue xmlns:b="http://schemas.openxmlformats.org/officeDocument/2006/bibliography">63</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Singh</b:Last>
            <b:First xmlns:b="http://schemas.openxmlformats.org/officeDocument/2006/bibliography">Balraj</b:First>
          </b:Person>
          <b:Person xmlns:b="http://schemas.openxmlformats.org/officeDocument/2006/bibliography">
            <b:Last xmlns:b="http://schemas.openxmlformats.org/officeDocument/2006/bibliography">Sihag</b:Last>
            <b:First xmlns:b="http://schemas.openxmlformats.org/officeDocument/2006/bibliography">Praveen</b:First>
          </b:Person>
          <b:Person xmlns:b="http://schemas.openxmlformats.org/officeDocument/2006/bibliography">
            <b:Last xmlns:b="http://schemas.openxmlformats.org/officeDocument/2006/bibliography">Singh </b:Last>
            <b:First xmlns:b="http://schemas.openxmlformats.org/officeDocument/2006/bibliography">Karan </b:First>
          </b:Person>
        </b:NameList>
      </b:Author>
    </b:Author>
    <b:RefOrder xmlns:b="http://schemas.openxmlformats.org/officeDocument/2006/bibliography">21</b:RefOrder>
  </b:Source>
  <b:Source xmlns:b="http://schemas.openxmlformats.org/officeDocument/2006/bibliography">
    <b:Tag xmlns:b="http://schemas.openxmlformats.org/officeDocument/2006/bibliography">Nav00</b:Tag>
    <b:SourceType xmlns:b="http://schemas.openxmlformats.org/officeDocument/2006/bibliography">JournalArticle</b:SourceType>
    <b:Guid xmlns:b="http://schemas.openxmlformats.org/officeDocument/2006/bibliography">{BC7C0DEC-98D6-4ED5-9694-43978812F2DE}</b:Guid>
    <b:Title xmlns:b="http://schemas.openxmlformats.org/officeDocument/2006/bibliography">Soil Infitration and land use in Linares, N.L., Mexico</b:Title>
    <b:JournalName xmlns:b="http://schemas.openxmlformats.org/officeDocument/2006/bibliography">Terra Latinoamericana 18</b:JournalName>
    <b:Year xmlns:b="http://schemas.openxmlformats.org/officeDocument/2006/bibliography">2000</b:Year>
    <b:Pages xmlns:b="http://schemas.openxmlformats.org/officeDocument/2006/bibliography">255-262</b:Pages>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Navar</b:Last>
            <b:First xmlns:b="http://schemas.openxmlformats.org/officeDocument/2006/bibliography">Jose</b:First>
          </b:Person>
          <b:Person xmlns:b="http://schemas.openxmlformats.org/officeDocument/2006/bibliography">
            <b:Last xmlns:b="http://schemas.openxmlformats.org/officeDocument/2006/bibliography">Synnott</b:Last>
            <b:First xmlns:b="http://schemas.openxmlformats.org/officeDocument/2006/bibliography">Timothy J. </b:First>
          </b:Person>
        </b:NameList>
      </b:Author>
    </b:Author>
    <b:RefOrder xmlns:b="http://schemas.openxmlformats.org/officeDocument/2006/bibliography">22</b:RefOrder>
  </b:Source>
  <b:Source xmlns:b="http://schemas.openxmlformats.org/officeDocument/2006/bibliography">
    <b:Tag xmlns:b="http://schemas.openxmlformats.org/officeDocument/2006/bibliography">Sih17</b:Tag>
    <b:SourceType xmlns:b="http://schemas.openxmlformats.org/officeDocument/2006/bibliography">JournalArticle</b:SourceType>
    <b:Guid xmlns:b="http://schemas.openxmlformats.org/officeDocument/2006/bibliography">{C43F1E21-287C-4EC6-80C9-AACE5D9619A1}</b:Guid>
    <b:Title xmlns:b="http://schemas.openxmlformats.org/officeDocument/2006/bibliography">Estimation and Inter-Comparison of Infiltration Models</b:Title>
    <b:Year xmlns:b="http://schemas.openxmlformats.org/officeDocument/2006/bibliography">2017</b:Year>
    <b:JournalName xmlns:b="http://schemas.openxmlformats.org/officeDocument/2006/bibliography">Water Science</b:JournalName>
    <b:Pages xmlns:b="http://schemas.openxmlformats.org/officeDocument/2006/bibliography">34-43.</b:Pages>
    <b:Volume xmlns:b="http://schemas.openxmlformats.org/officeDocument/2006/bibliography">31</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Sihag</b:Last>
            <b:First xmlns:b="http://schemas.openxmlformats.org/officeDocument/2006/bibliography">P</b:First>
          </b:Person>
          <b:Person xmlns:b="http://schemas.openxmlformats.org/officeDocument/2006/bibliography">
            <b:Last xmlns:b="http://schemas.openxmlformats.org/officeDocument/2006/bibliography">Tiwari</b:Last>
            <b:First xmlns:b="http://schemas.openxmlformats.org/officeDocument/2006/bibliography">N.K</b:First>
          </b:Person>
          <b:Person xmlns:b="http://schemas.openxmlformats.org/officeDocument/2006/bibliography">
            <b:Last xmlns:b="http://schemas.openxmlformats.org/officeDocument/2006/bibliography">Ranjan</b:Last>
            <b:First xmlns:b="http://schemas.openxmlformats.org/officeDocument/2006/bibliography">S</b:First>
          </b:Person>
        </b:NameList>
      </b:Author>
    </b:Author>
    <b:RefOrder xmlns:b="http://schemas.openxmlformats.org/officeDocument/2006/bibliography">23</b:RefOrder>
  </b:Source>
  <b:Source xmlns:b="http://schemas.openxmlformats.org/officeDocument/2006/bibliography">
    <b:Tag xmlns:b="http://schemas.openxmlformats.org/officeDocument/2006/bibliography">Van18</b:Tag>
    <b:SourceType xmlns:b="http://schemas.openxmlformats.org/officeDocument/2006/bibliography">JournalArticle</b:SourceType>
    <b:Guid xmlns:b="http://schemas.openxmlformats.org/officeDocument/2006/bibliography">{DB1130ED-507D-4B57-A0D5-E5DCFBAF4F8E}</b:Guid>
    <b:Title xmlns:b="http://schemas.openxmlformats.org/officeDocument/2006/bibliography">Comparative Evaluation of Infiltration models</b:Title>
    <b:JournalName xmlns:b="http://schemas.openxmlformats.org/officeDocument/2006/bibliography">KSCE Journal of Civil Engineering</b:JournalName>
    <b:Year xmlns:b="http://schemas.openxmlformats.org/officeDocument/2006/bibliography">2018</b:Year>
    <b:Pages xmlns:b="http://schemas.openxmlformats.org/officeDocument/2006/bibliography">4173–4184</b:Pages>
    <b:Volume xmlns:b="http://schemas.openxmlformats.org/officeDocument/2006/bibliography">22</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Vand</b:Last>
            <b:Middle xmlns:b="http://schemas.openxmlformats.org/officeDocument/2006/bibliography">Sepah </b:Middle>
            <b:First xmlns:b="http://schemas.openxmlformats.org/officeDocument/2006/bibliography">Alireza </b:First>
          </b:Person>
          <b:Person xmlns:b="http://schemas.openxmlformats.org/officeDocument/2006/bibliography">
            <b:Last xmlns:b="http://schemas.openxmlformats.org/officeDocument/2006/bibliography">Sihag</b:Last>
            <b:First xmlns:b="http://schemas.openxmlformats.org/officeDocument/2006/bibliography">Parveen</b:First>
          </b:Person>
          <b:Person xmlns:b="http://schemas.openxmlformats.org/officeDocument/2006/bibliography">
            <b:Last xmlns:b="http://schemas.openxmlformats.org/officeDocument/2006/bibliography">Singh </b:Last>
            <b:First xmlns:b="http://schemas.openxmlformats.org/officeDocument/2006/bibliography">Balraj</b:First>
          </b:Person>
          <b:Person xmlns:b="http://schemas.openxmlformats.org/officeDocument/2006/bibliography">
            <b:Last xmlns:b="http://schemas.openxmlformats.org/officeDocument/2006/bibliography">Zand </b:Last>
            <b:First xmlns:b="http://schemas.openxmlformats.org/officeDocument/2006/bibliography">Mehran </b:First>
          </b:Person>
        </b:NameList>
      </b:Author>
    </b:Author>
    <b:RefOrder xmlns:b="http://schemas.openxmlformats.org/officeDocument/2006/bibliography">30</b:RefOrder>
  </b:Source>
  <b:Source xmlns:b="http://schemas.openxmlformats.org/officeDocument/2006/bibliography">
    <b:Tag xmlns:b="http://schemas.openxmlformats.org/officeDocument/2006/bibliography">Min17</b:Tag>
    <b:SourceType xmlns:b="http://schemas.openxmlformats.org/officeDocument/2006/bibliography">Report</b:SourceType>
    <b:Guid xmlns:b="http://schemas.openxmlformats.org/officeDocument/2006/bibliography">{6F98EB83-5006-495C-9CE1-7C03CCE3C572}</b:Guid>
    <b:Title xmlns:b="http://schemas.openxmlformats.org/officeDocument/2006/bibliography">Annual Preformance Report Accounts 2017</b:Title>
    <b:Year xmlns:b="http://schemas.openxmlformats.org/officeDocument/2006/bibliography">2017</b:Year>
    <b:Publisher xmlns:b="http://schemas.openxmlformats.org/officeDocument/2006/bibliography">Ministry of Mahaweli Development and Environment Sri Lanka</b:Publisher>
    <b:City xmlns:b="http://schemas.openxmlformats.org/officeDocument/2006/bibliography">Colombo, Sri Lanka</b:City>
    <b:Author xmlns:b="http://schemas.openxmlformats.org/officeDocument/2006/bibliography">
      <b:Author xmlns:b="http://schemas.openxmlformats.org/officeDocument/2006/bibliography">
        <b:Corporate xmlns:b="http://schemas.openxmlformats.org/officeDocument/2006/bibliography">Ministry of Mahaweli Development and Environment</b:Corporate>
      </b:Author>
    </b:Author>
    <b:RefOrder xmlns:b="http://schemas.openxmlformats.org/officeDocument/2006/bibliography">31</b:RefOrder>
  </b:Source>
  <b:Source xmlns:b="http://schemas.openxmlformats.org/officeDocument/2006/bibliography">
    <b:Tag xmlns:b="http://schemas.openxmlformats.org/officeDocument/2006/bibliography">Abe15</b:Tag>
    <b:SourceType xmlns:b="http://schemas.openxmlformats.org/officeDocument/2006/bibliography">ConferenceProceedings</b:SourceType>
    <b:Guid xmlns:b="http://schemas.openxmlformats.org/officeDocument/2006/bibliography">{D488980C-D4EA-480E-A472-47EB2CA53CD6}</b:Guid>
    <b:Title xmlns:b="http://schemas.openxmlformats.org/officeDocument/2006/bibliography">An assessment of returns to irrigation infrastructure investment: Hurulu wewa</b:Title>
    <b:Year xmlns:b="http://schemas.openxmlformats.org/officeDocument/2006/bibliography">2015</b:Year>
    <b:Publisher xmlns:b="http://schemas.openxmlformats.org/officeDocument/2006/bibliography">National Building Research Organisation (NBRO)</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Abeysekara</b:Last>
            <b:First xmlns:b="http://schemas.openxmlformats.org/officeDocument/2006/bibliography">M.G.D</b:First>
          </b:Person>
          <b:Person xmlns:b="http://schemas.openxmlformats.org/officeDocument/2006/bibliography">
            <b:Last xmlns:b="http://schemas.openxmlformats.org/officeDocument/2006/bibliography">Munasinghe</b:Last>
            <b:First xmlns:b="http://schemas.openxmlformats.org/officeDocument/2006/bibliography">D.S</b:First>
          </b:Person>
          <b:Person xmlns:b="http://schemas.openxmlformats.org/officeDocument/2006/bibliography">
            <b:Last xmlns:b="http://schemas.openxmlformats.org/officeDocument/2006/bibliography">Weerahewa</b:Last>
            <b:First xmlns:b="http://schemas.openxmlformats.org/officeDocument/2006/bibliography">J</b:First>
          </b:Person>
        </b:NameList>
      </b:Author>
    </b:Author>
    <b:City xmlns:b="http://schemas.openxmlformats.org/officeDocument/2006/bibliography">Colombo, Sri Lanka</b:City>
    <b:RefOrder xmlns:b="http://schemas.openxmlformats.org/officeDocument/2006/bibliography">32</b:RefOrder>
  </b:Source>
  <b:Source xmlns:b="http://schemas.openxmlformats.org/officeDocument/2006/bibliography">
    <b:Tag xmlns:b="http://schemas.openxmlformats.org/officeDocument/2006/bibliography">Ber15</b:Tag>
    <b:SourceType xmlns:b="http://schemas.openxmlformats.org/officeDocument/2006/bibliography">ConferenceProceedings</b:SourceType>
    <b:Guid xmlns:b="http://schemas.openxmlformats.org/officeDocument/2006/bibliography">{08090AF8-1934-4589-B62C-9DC2EBEA32E2}</b:Guid>
    <b:Title xmlns:b="http://schemas.openxmlformats.org/officeDocument/2006/bibliography">Drought resilient farming system through crop diversification: The case of Huruluwewa</b:Title>
    <b:Year xmlns:b="http://schemas.openxmlformats.org/officeDocument/2006/bibliography">2015</b:Year>
    <b:City xmlns:b="http://schemas.openxmlformats.org/officeDocument/2006/bibliography">Colombo, Sri Lanka</b:City>
    <b:Publisher xmlns:b="http://schemas.openxmlformats.org/officeDocument/2006/bibliography">Sixth National Building Research Organisation (NBRO) </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Berundharshani</b:Last>
            <b:First xmlns:b="http://schemas.openxmlformats.org/officeDocument/2006/bibliography">T</b:First>
          </b:Person>
          <b:Person xmlns:b="http://schemas.openxmlformats.org/officeDocument/2006/bibliography">
            <b:Last xmlns:b="http://schemas.openxmlformats.org/officeDocument/2006/bibliography">Munasinghe</b:Last>
            <b:First xmlns:b="http://schemas.openxmlformats.org/officeDocument/2006/bibliography">D.S</b:First>
          </b:Person>
        </b:NameList>
      </b:Author>
    </b:Author>
    <b:RefOrder xmlns:b="http://schemas.openxmlformats.org/officeDocument/2006/bibliography">33</b:RefOrder>
  </b:Source>
  <b:Source xmlns:b="http://schemas.openxmlformats.org/officeDocument/2006/bibliography">
    <b:Tag xmlns:b="http://schemas.openxmlformats.org/officeDocument/2006/bibliography">Par23</b:Tag>
    <b:SourceType xmlns:b="http://schemas.openxmlformats.org/officeDocument/2006/bibliography">JournalArticle</b:SourceType>
    <b:Guid xmlns:b="http://schemas.openxmlformats.org/officeDocument/2006/bibliography">{8D669E12-97A4-4F34-8CCC-D9D7BF3140E0}</b:Guid>
    <b:Title xmlns:b="http://schemas.openxmlformats.org/officeDocument/2006/bibliography">Comparative analysis of the cumulative yield from the adjacent catchment along the ancient Minipe Left Bank Canal, Sri Lanka</b:Title>
    <b:Year xmlns:b="http://schemas.openxmlformats.org/officeDocument/2006/bibliography">2023</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Paranavithana</b:Last>
            <b:First xmlns:b="http://schemas.openxmlformats.org/officeDocument/2006/bibliography">G.N</b:First>
          </b:Person>
          <b:Person xmlns:b="http://schemas.openxmlformats.org/officeDocument/2006/bibliography">
            <b:Last xmlns:b="http://schemas.openxmlformats.org/officeDocument/2006/bibliography">Arachchi</b:Last>
            <b:First xmlns:b="http://schemas.openxmlformats.org/officeDocument/2006/bibliography">R.N</b:First>
          </b:Person>
          <b:Person xmlns:b="http://schemas.openxmlformats.org/officeDocument/2006/bibliography">
            <b:Last xmlns:b="http://schemas.openxmlformats.org/officeDocument/2006/bibliography">Rathnayake</b:Last>
            <b:First xmlns:b="http://schemas.openxmlformats.org/officeDocument/2006/bibliography">U</b:First>
          </b:Person>
        </b:NameList>
      </b:Author>
    </b:Author>
    <b:JournalName xmlns:b="http://schemas.openxmlformats.org/officeDocument/2006/bibliography">Journal of Infrastructure, Policy &amp; Development</b:JournalName>
    <b:Volume xmlns:b="http://schemas.openxmlformats.org/officeDocument/2006/bibliography">7</b:Volume>
    <b:Issue xmlns:b="http://schemas.openxmlformats.org/officeDocument/2006/bibliography">3</b:Issue>
    <b:Pages xmlns:b="http://schemas.openxmlformats.org/officeDocument/2006/bibliography">1-16</b:Pages>
    <b:RefOrder xmlns:b="http://schemas.openxmlformats.org/officeDocument/2006/bibliography">34</b:RefOrder>
  </b:Source>
  <b:Source xmlns:b="http://schemas.openxmlformats.org/officeDocument/2006/bibliography">
    <b:Tag xmlns:b="http://schemas.openxmlformats.org/officeDocument/2006/bibliography">Gya14</b:Tag>
    <b:SourceType xmlns:b="http://schemas.openxmlformats.org/officeDocument/2006/bibliography">JournalArticle</b:SourceType>
    <b:Guid xmlns:b="http://schemas.openxmlformats.org/officeDocument/2006/bibliography">{7F8160FD-B59C-46AD-A87E-F5C71FA24281}</b:Guid>
    <b:Title xmlns:b="http://schemas.openxmlformats.org/officeDocument/2006/bibliography">Hydrological studies of the university of Cape Coast school of agriculture research station at Twifo Wamaso</b:Title>
    <b:JournalName xmlns:b="http://schemas.openxmlformats.org/officeDocument/2006/bibliography">Global Research Journal of Geography</b:JournalName>
    <b:Year xmlns:b="http://schemas.openxmlformats.org/officeDocument/2006/bibliography">2014</b:Year>
    <b:Pages xmlns:b="http://schemas.openxmlformats.org/officeDocument/2006/bibliography">10-66</b:Pages>
    <b:Volume xmlns:b="http://schemas.openxmlformats.org/officeDocument/2006/bibliography">2</b:Volume>
    <b:Issue xmlns:b="http://schemas.openxmlformats.org/officeDocument/2006/bibliography">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Gyamera</b:Last>
            <b:First xmlns:b="http://schemas.openxmlformats.org/officeDocument/2006/bibliography">E.A</b:First>
          </b:Person>
        </b:NameList>
      </b:Author>
    </b:Author>
    <b:RefOrder xmlns:b="http://schemas.openxmlformats.org/officeDocument/2006/bibliography">35</b:RefOrder>
  </b:Source>
  <b:Source xmlns:b="http://schemas.openxmlformats.org/officeDocument/2006/bibliography">
    <b:Tag xmlns:b="http://schemas.openxmlformats.org/officeDocument/2006/bibliography">Ame20</b:Tag>
    <b:SourceType xmlns:b="http://schemas.openxmlformats.org/officeDocument/2006/bibliography">JournalArticle</b:SourceType>
    <b:Guid xmlns:b="http://schemas.openxmlformats.org/officeDocument/2006/bibliography">{8A6F8B29-9986-4B3E-8BDD-7AA3D4CFA7E9}</b:Guid>
    <b:Title xmlns:b="http://schemas.openxmlformats.org/officeDocument/2006/bibliography">Hydraulic conductivity and sorptivity at unsaturated and saturated conditions as related to water infiltration in soils</b:Title>
    <b:JournalName xmlns:b="http://schemas.openxmlformats.org/officeDocument/2006/bibliography">Eurasian Journal of Soil Science</b:JournalName>
    <b:Year xmlns:b="http://schemas.openxmlformats.org/officeDocument/2006/bibliography">2020</b:Year>
    <b:Pages xmlns:b="http://schemas.openxmlformats.org/officeDocument/2006/bibliography">1-9</b:Pages>
    <b:Volume xmlns:b="http://schemas.openxmlformats.org/officeDocument/2006/bibliography">9</b:Volume>
    <b:Issue xmlns:b="http://schemas.openxmlformats.org/officeDocument/2006/bibliography">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Amer</b:Last>
            <b:First xmlns:b="http://schemas.openxmlformats.org/officeDocument/2006/bibliography">A.M.A</b:First>
          </b:Person>
        </b:NameList>
      </b:Author>
    </b:Author>
    <b:RefOrder xmlns:b="http://schemas.openxmlformats.org/officeDocument/2006/bibliography">36</b:RefOrder>
  </b:Source>
  <b:Source xmlns:b="http://schemas.openxmlformats.org/officeDocument/2006/bibliography">
    <b:Tag xmlns:b="http://schemas.openxmlformats.org/officeDocument/2006/bibliography">Rit96</b:Tag>
    <b:SourceType xmlns:b="http://schemas.openxmlformats.org/officeDocument/2006/bibliography">Book</b:SourceType>
    <b:Guid xmlns:b="http://schemas.openxmlformats.org/officeDocument/2006/bibliography">{4418FEA1-F7F8-4B90-85A6-8FA67887088C}</b:Guid>
    <b:Title xmlns:b="http://schemas.openxmlformats.org/officeDocument/2006/bibliography">Drainage of Irrigated Lands</b:Title>
    <b:Year xmlns:b="http://schemas.openxmlformats.org/officeDocument/2006/bibliography">1996</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Ritzema</b:Last>
            <b:First xmlns:b="http://schemas.openxmlformats.org/officeDocument/2006/bibliography">H</b:First>
          </b:Person>
          <b:Person xmlns:b="http://schemas.openxmlformats.org/officeDocument/2006/bibliography">
            <b:Last xmlns:b="http://schemas.openxmlformats.org/officeDocument/2006/bibliography">Kselik</b:Last>
            <b:First xmlns:b="http://schemas.openxmlformats.org/officeDocument/2006/bibliography">R.A.L</b:First>
          </b:Person>
          <b:Person xmlns:b="http://schemas.openxmlformats.org/officeDocument/2006/bibliography">
            <b:Last xmlns:b="http://schemas.openxmlformats.org/officeDocument/2006/bibliography">Chanduvi</b:Last>
            <b:First xmlns:b="http://schemas.openxmlformats.org/officeDocument/2006/bibliography">F</b:First>
          </b:Person>
        </b:NameList>
      </b:Author>
    </b:Author>
    <b:City xmlns:b="http://schemas.openxmlformats.org/officeDocument/2006/bibliography">Rome, Italy</b:City>
    <b:Publisher xmlns:b="http://schemas.openxmlformats.org/officeDocument/2006/bibliography">Food and Agricultural Organization of the United Nations</b:Publisher>
    <b:Edition xmlns:b="http://schemas.openxmlformats.org/officeDocument/2006/bibliography">9</b:Edition>
    <b:RefOrder xmlns:b="http://schemas.openxmlformats.org/officeDocument/2006/bibliography">37</b:RefOrder>
  </b:Source>
  <b:Source xmlns:b="http://schemas.openxmlformats.org/officeDocument/2006/bibliography">
    <b:Tag xmlns:b="http://schemas.openxmlformats.org/officeDocument/2006/bibliography">Pit00</b:Tag>
    <b:SourceType xmlns:b="http://schemas.openxmlformats.org/officeDocument/2006/bibliography">JournalArticle</b:SourceType>
    <b:Guid xmlns:b="http://schemas.openxmlformats.org/officeDocument/2006/bibliography">{A48D8A86-7885-470B-BB61-820C4EF6F98B}</b:Guid>
    <b:Title xmlns:b="http://schemas.openxmlformats.org/officeDocument/2006/bibliography">Infiltration Through Disturbed Urban Soils</b:Title>
    <b:Year xmlns:b="http://schemas.openxmlformats.org/officeDocument/2006/bibliography">2000</b:Year>
    <b:JournalName xmlns:b="http://schemas.openxmlformats.org/officeDocument/2006/bibliography">Journal of Water Management Modeling</b:JournalName>
    <b:Pages xmlns:b="http://schemas.openxmlformats.org/officeDocument/2006/bibliography">1-10</b:Pages>
    <b:Volume xmlns:b="http://schemas.openxmlformats.org/officeDocument/2006/bibliography">104</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Pitt</b:Last>
            <b:First xmlns:b="http://schemas.openxmlformats.org/officeDocument/2006/bibliography">R</b:First>
          </b:Person>
          <b:Person xmlns:b="http://schemas.openxmlformats.org/officeDocument/2006/bibliography">
            <b:Last xmlns:b="http://schemas.openxmlformats.org/officeDocument/2006/bibliography">Lantrip</b:Last>
            <b:First xmlns:b="http://schemas.openxmlformats.org/officeDocument/2006/bibliography">J</b:First>
          </b:Person>
          <b:Person xmlns:b="http://schemas.openxmlformats.org/officeDocument/2006/bibliography">
            <b:Last xmlns:b="http://schemas.openxmlformats.org/officeDocument/2006/bibliography">Connor</b:Last>
            <b:First xmlns:b="http://schemas.openxmlformats.org/officeDocument/2006/bibliography">T.P.O </b:First>
          </b:Person>
        </b:NameList>
      </b:Author>
    </b:Author>
    <b:RefOrder xmlns:b="http://schemas.openxmlformats.org/officeDocument/2006/bibliography">38</b:RefOrder>
  </b:Source>
  <b:Source xmlns:b="http://schemas.openxmlformats.org/officeDocument/2006/bibliography">
    <b:Tag xmlns:b="http://schemas.openxmlformats.org/officeDocument/2006/bibliography">Hsu22</b:Tag>
    <b:SourceType xmlns:b="http://schemas.openxmlformats.org/officeDocument/2006/bibliography">JournalArticle</b:SourceType>
    <b:Guid xmlns:b="http://schemas.openxmlformats.org/officeDocument/2006/bibliography">{40014D80-5504-49FE-8AB6-8265292D953F}</b:Guid>
    <b:Title xmlns:b="http://schemas.openxmlformats.org/officeDocument/2006/bibliography">Assessment of Three In®ltration Formulas based on Model Fitting on Richards Equation</b:Title>
    <b:JournalName xmlns:b="http://schemas.openxmlformats.org/officeDocument/2006/bibliography">Journal of Hydrologic Engineering</b:JournalName>
    <b:Year xmlns:b="http://schemas.openxmlformats.org/officeDocument/2006/bibliography">2022</b:Year>
    <b:Pages xmlns:b="http://schemas.openxmlformats.org/officeDocument/2006/bibliography">373-379</b:Pages>
    <b:Volume xmlns:b="http://schemas.openxmlformats.org/officeDocument/2006/bibliography">7</b:Volume>
    <b:Issue xmlns:b="http://schemas.openxmlformats.org/officeDocument/2006/bibliography">5</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Hsu</b:Last>
            <b:First xmlns:b="http://schemas.openxmlformats.org/officeDocument/2006/bibliography">S.M</b:First>
          </b:Person>
          <b:Person xmlns:b="http://schemas.openxmlformats.org/officeDocument/2006/bibliography">
            <b:Last xmlns:b="http://schemas.openxmlformats.org/officeDocument/2006/bibliography">Ni</b:Last>
            <b:First xmlns:b="http://schemas.openxmlformats.org/officeDocument/2006/bibliography">C.F</b:First>
          </b:Person>
          <b:Person xmlns:b="http://schemas.openxmlformats.org/officeDocument/2006/bibliography">
            <b:Last xmlns:b="http://schemas.openxmlformats.org/officeDocument/2006/bibliography">Hung</b:Last>
            <b:First xmlns:b="http://schemas.openxmlformats.org/officeDocument/2006/bibliography">P.F</b:First>
          </b:Person>
        </b:NameList>
      </b:Author>
    </b:Author>
    <b:RefOrder xmlns:b="http://schemas.openxmlformats.org/officeDocument/2006/bibliography">39</b:RefOrder>
  </b:Source>
  <b:Source xmlns:b="http://schemas.openxmlformats.org/officeDocument/2006/bibliography">
    <b:Tag xmlns:b="http://schemas.openxmlformats.org/officeDocument/2006/bibliography">Tas20</b:Tag>
    <b:SourceType xmlns:b="http://schemas.openxmlformats.org/officeDocument/2006/bibliography">JournalArticle</b:SourceType>
    <b:Guid xmlns:b="http://schemas.openxmlformats.org/officeDocument/2006/bibliography">{24BA60D6-CEBA-402C-9DAD-C11898DCE2AE}</b:Guid>
    <b:Title xmlns:b="http://schemas.openxmlformats.org/officeDocument/2006/bibliography">Digital mapping of Philip model parameters for prediction of water  infiltration at the watershed scale</b:Title>
    <b:JournalName xmlns:b="http://schemas.openxmlformats.org/officeDocument/2006/bibliography">Geoderma Regional</b:JournalName>
    <b:Year xmlns:b="http://schemas.openxmlformats.org/officeDocument/2006/bibliography">2020</b:Year>
    <b:Issue xmlns:b="http://schemas.openxmlformats.org/officeDocument/2006/bibliography">https://doi.org/10.1016/j.geodrs.2020.e00301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Tashayo</b:Last>
            <b:First xmlns:b="http://schemas.openxmlformats.org/officeDocument/2006/bibliography">B</b:First>
          </b:Person>
          <b:Person xmlns:b="http://schemas.openxmlformats.org/officeDocument/2006/bibliography">
            <b:Last xmlns:b="http://schemas.openxmlformats.org/officeDocument/2006/bibliography">Honarbakhsh</b:Last>
            <b:First xmlns:b="http://schemas.openxmlformats.org/officeDocument/2006/bibliography">A</b:First>
          </b:Person>
          <b:Person xmlns:b="http://schemas.openxmlformats.org/officeDocument/2006/bibliography">
            <b:Last xmlns:b="http://schemas.openxmlformats.org/officeDocument/2006/bibliography">Akbari</b:Last>
            <b:First xmlns:b="http://schemas.openxmlformats.org/officeDocument/2006/bibliography">M</b:First>
          </b:Person>
          <b:Person xmlns:b="http://schemas.openxmlformats.org/officeDocument/2006/bibliography">
            <b:Last xmlns:b="http://schemas.openxmlformats.org/officeDocument/2006/bibliography">Ostovari</b:Last>
            <b:First xmlns:b="http://schemas.openxmlformats.org/officeDocument/2006/bibliography">Y</b:First>
          </b:Person>
        </b:NameList>
      </b:Author>
    </b:Author>
    <b:RefOrder xmlns:b="http://schemas.openxmlformats.org/officeDocument/2006/bibliography">40</b:RefOrder>
  </b:Source>
  <b:Source xmlns:b="http://schemas.openxmlformats.org/officeDocument/2006/bibliography">
    <b:Tag xmlns:b="http://schemas.openxmlformats.org/officeDocument/2006/bibliography">Das09</b:Tag>
    <b:SourceType xmlns:b="http://schemas.openxmlformats.org/officeDocument/2006/bibliography">JournalArticle</b:SourceType>
    <b:Guid xmlns:b="http://schemas.openxmlformats.org/officeDocument/2006/bibliography">{583D88F7-260D-41F2-847D-8A1CF66EF75F}</b:Guid>
    <b:Title xmlns:b="http://schemas.openxmlformats.org/officeDocument/2006/bibliography">Site-Dependence Performance of Infiltration Models</b:Title>
    <b:JournalName xmlns:b="http://schemas.openxmlformats.org/officeDocument/2006/bibliography">Water Resour Management</b:JournalName>
    <b:Year xmlns:b="http://schemas.openxmlformats.org/officeDocument/2006/bibliography">2009</b:Year>
    <b:Pages xmlns:b="http://schemas.openxmlformats.org/officeDocument/2006/bibliography">2777–2790</b:Pages>
    <b:Volume xmlns:b="http://schemas.openxmlformats.org/officeDocument/2006/bibliography">23</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Dashtaki</b:Last>
            <b:First xmlns:b="http://schemas.openxmlformats.org/officeDocument/2006/bibliography">S.G</b:First>
          </b:Person>
          <b:Person xmlns:b="http://schemas.openxmlformats.org/officeDocument/2006/bibliography">
            <b:Last xmlns:b="http://schemas.openxmlformats.org/officeDocument/2006/bibliography">Homaee</b:Last>
            <b:First xmlns:b="http://schemas.openxmlformats.org/officeDocument/2006/bibliography">M</b:First>
          </b:Person>
          <b:Person xmlns:b="http://schemas.openxmlformats.org/officeDocument/2006/bibliography">
            <b:Last xmlns:b="http://schemas.openxmlformats.org/officeDocument/2006/bibliography">Mahdian</b:Last>
            <b:First xmlns:b="http://schemas.openxmlformats.org/officeDocument/2006/bibliography">M.H</b:First>
          </b:Person>
          <b:Person xmlns:b="http://schemas.openxmlformats.org/officeDocument/2006/bibliography">
            <b:Last xmlns:b="http://schemas.openxmlformats.org/officeDocument/2006/bibliography">Kouchakzadeh</b:Last>
            <b:First xmlns:b="http://schemas.openxmlformats.org/officeDocument/2006/bibliography">M</b:First>
          </b:Person>
        </b:NameList>
      </b:Author>
    </b:Author>
    <b:RefOrder xmlns:b="http://schemas.openxmlformats.org/officeDocument/2006/bibliography">41</b:RefOrder>
  </b:Source>
  <b:Source xmlns:b="http://schemas.openxmlformats.org/officeDocument/2006/bibliography">
    <b:Tag xmlns:b="http://schemas.openxmlformats.org/officeDocument/2006/bibliography">Tho20</b:Tag>
    <b:SourceType xmlns:b="http://schemas.openxmlformats.org/officeDocument/2006/bibliography">JournalArticle</b:SourceType>
    <b:Guid xmlns:b="http://schemas.openxmlformats.org/officeDocument/2006/bibliography">{8F801967-173F-4282-89A3-26A03EF6D816}</b:Guid>
    <b:Title xmlns:b="http://schemas.openxmlformats.org/officeDocument/2006/bibliography">Comparison and Estimation of Four Infiltration</b:Title>
    <b:Year xmlns:b="http://schemas.openxmlformats.org/officeDocument/2006/bibliography">2020</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Thomas</b:Last>
            <b:First xmlns:b="http://schemas.openxmlformats.org/officeDocument/2006/bibliography">A.D</b:First>
          </b:Person>
          <b:Person xmlns:b="http://schemas.openxmlformats.org/officeDocument/2006/bibliography">
            <b:Last xmlns:b="http://schemas.openxmlformats.org/officeDocument/2006/bibliography">Ofosu</b:Last>
            <b:First xmlns:b="http://schemas.openxmlformats.org/officeDocument/2006/bibliography">A.E</b:First>
          </b:Person>
          <b:Person xmlns:b="http://schemas.openxmlformats.org/officeDocument/2006/bibliography">
            <b:Last xmlns:b="http://schemas.openxmlformats.org/officeDocument/2006/bibliography">Emmanuel</b:Last>
            <b:First xmlns:b="http://schemas.openxmlformats.org/officeDocument/2006/bibliography">A</b:First>
          </b:Person>
          <b:Person xmlns:b="http://schemas.openxmlformats.org/officeDocument/2006/bibliography">
            <b:Last xmlns:b="http://schemas.openxmlformats.org/officeDocument/2006/bibliography">De-Graft</b:Last>
            <b:First xmlns:b="http://schemas.openxmlformats.org/officeDocument/2006/bibliography">A.J</b:First>
          </b:Person>
          <b:Person xmlns:b="http://schemas.openxmlformats.org/officeDocument/2006/bibliography">
            <b:Last xmlns:b="http://schemas.openxmlformats.org/officeDocument/2006/bibliography">Ayine</b:Last>
            <b:First xmlns:b="http://schemas.openxmlformats.org/officeDocument/2006/bibliography">A.G</b:First>
          </b:Person>
          <b:Person xmlns:b="http://schemas.openxmlformats.org/officeDocument/2006/bibliography">
            <b:Last xmlns:b="http://schemas.openxmlformats.org/officeDocument/2006/bibliography">Asare</b:Last>
            <b:First xmlns:b="http://schemas.openxmlformats.org/officeDocument/2006/bibliography">A</b:First>
          </b:Person>
          <b:Person xmlns:b="http://schemas.openxmlformats.org/officeDocument/2006/bibliography">
            <b:Last xmlns:b="http://schemas.openxmlformats.org/officeDocument/2006/bibliography">Alexander</b:Last>
            <b:First xmlns:b="http://schemas.openxmlformats.org/officeDocument/2006/bibliography">A</b:First>
          </b:Person>
        </b:NameList>
      </b:Author>
    </b:Author>
    <b:JournalName xmlns:b="http://schemas.openxmlformats.org/officeDocument/2006/bibliography">Open Journal of Soil Science</b:JournalName>
    <b:Pages xmlns:b="http://schemas.openxmlformats.org/officeDocument/2006/bibliography">45-57</b:Pages>
    <b:Volume xmlns:b="http://schemas.openxmlformats.org/officeDocument/2006/bibliography">10</b:Volume>
    <b:Issue xmlns:b="http://schemas.openxmlformats.org/officeDocument/2006/bibliography">https://www.scirp.org/journal/ojssv</b:Issue>
    <b:RefOrder xmlns:b="http://schemas.openxmlformats.org/officeDocument/2006/bibliography">42</b:RefOrder>
  </b:Source>
  <b:Source xmlns:b="http://schemas.openxmlformats.org/officeDocument/2006/bibliography">
    <b:Tag xmlns:b="http://schemas.openxmlformats.org/officeDocument/2006/bibliography">DMo21</b:Tag>
    <b:SourceType xmlns:b="http://schemas.openxmlformats.org/officeDocument/2006/bibliography">JournalArticle</b:SourceType>
    <b:Guid xmlns:b="http://schemas.openxmlformats.org/officeDocument/2006/bibliography">{642D2F68-D1B8-4CA3-A6A4-F50BD84B2BAA}</b:Guid>
    <b:Title xmlns:b="http://schemas.openxmlformats.org/officeDocument/2006/bibliography">Sequential infiltration analysis of infiltration curves measured with disc infiltrometer in layered soils</b:Title>
    <b:JournalName xmlns:b="http://schemas.openxmlformats.org/officeDocument/2006/bibliography">Journal of Hydrology</b:JournalName>
    <b:Year xmlns:b="http://schemas.openxmlformats.org/officeDocument/2006/bibliography">2021</b:Year>
    <b:Pages xmlns:b="http://schemas.openxmlformats.org/officeDocument/2006/bibliography">126-542</b:Pages>
    <b:Volume xmlns:b="http://schemas.openxmlformats.org/officeDocument/2006/bibliography">600</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Fernandaz</b:Last>
            <b:First xmlns:b="http://schemas.openxmlformats.org/officeDocument/2006/bibliography">D.M</b:First>
          </b:Person>
          <b:Person xmlns:b="http://schemas.openxmlformats.org/officeDocument/2006/bibliography">
            <b:Last xmlns:b="http://schemas.openxmlformats.org/officeDocument/2006/bibliography">Latorre</b:Last>
            <b:First xmlns:b="http://schemas.openxmlformats.org/officeDocument/2006/bibliography">B</b:First>
          </b:Person>
          <b:Person xmlns:b="http://schemas.openxmlformats.org/officeDocument/2006/bibliography">
            <b:Last xmlns:b="http://schemas.openxmlformats.org/officeDocument/2006/bibliography">Lassabatere</b:Last>
            <b:First xmlns:b="http://schemas.openxmlformats.org/officeDocument/2006/bibliography">L</b:First>
          </b:Person>
          <b:Person xmlns:b="http://schemas.openxmlformats.org/officeDocument/2006/bibliography">
            <b:Last xmlns:b="http://schemas.openxmlformats.org/officeDocument/2006/bibliography">Di Prima</b:Last>
            <b:First xmlns:b="http://schemas.openxmlformats.org/officeDocument/2006/bibliography">S</b:First>
          </b:Person>
          <b:Person xmlns:b="http://schemas.openxmlformats.org/officeDocument/2006/bibliography">
            <b:Last xmlns:b="http://schemas.openxmlformats.org/officeDocument/2006/bibliography">Castellini</b:Last>
            <b:First xmlns:b="http://schemas.openxmlformats.org/officeDocument/2006/bibliography">M</b:First>
          </b:Person>
          <b:Person xmlns:b="http://schemas.openxmlformats.org/officeDocument/2006/bibliography">
            <b:Last xmlns:b="http://schemas.openxmlformats.org/officeDocument/2006/bibliography">Yilmaz</b:Last>
            <b:First xmlns:b="http://schemas.openxmlformats.org/officeDocument/2006/bibliography">D</b:First>
          </b:Person>
          <b:Person xmlns:b="http://schemas.openxmlformats.org/officeDocument/2006/bibliography">
            <b:Last xmlns:b="http://schemas.openxmlformats.org/officeDocument/2006/bibliography">Angulo-Jaramilo</b:Last>
            <b:First xmlns:b="http://schemas.openxmlformats.org/officeDocument/2006/bibliography">R</b:First>
          </b:Person>
        </b:NameList>
      </b:Author>
    </b:Author>
    <b:RefOrder xmlns:b="http://schemas.openxmlformats.org/officeDocument/2006/bibliography">25</b:RefOrder>
  </b:Source>
  <b:Source xmlns:b="http://schemas.openxmlformats.org/officeDocument/2006/bibliography">
    <b:Tag xmlns:b="http://schemas.openxmlformats.org/officeDocument/2006/bibliography">Hor40</b:Tag>
    <b:SourceType xmlns:b="http://schemas.openxmlformats.org/officeDocument/2006/bibliography">JournalArticle</b:SourceType>
    <b:Guid xmlns:b="http://schemas.openxmlformats.org/officeDocument/2006/bibliography">{263B5ECA-F0B2-4AF2-8CC5-61EE4D247FE2}</b:Guid>
    <b:Title xmlns:b="http://schemas.openxmlformats.org/officeDocument/2006/bibliography">An approach toward a physical interpretation of infiltration-capacity</b:Title>
    <b:JournalName xmlns:b="http://schemas.openxmlformats.org/officeDocument/2006/bibliography">Soil Science </b:JournalName>
    <b:Year xmlns:b="http://schemas.openxmlformats.org/officeDocument/2006/bibliography">1940</b:Year>
    <b:Pages xmlns:b="http://schemas.openxmlformats.org/officeDocument/2006/bibliography">399-417</b:Pages>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Horton</b:Last>
            <b:First xmlns:b="http://schemas.openxmlformats.org/officeDocument/2006/bibliography">R.E</b:First>
          </b:Person>
        </b:NameList>
      </b:Author>
    </b:Author>
    <b:RefOrder xmlns:b="http://schemas.openxmlformats.org/officeDocument/2006/bibliography">43</b:RefOrder>
  </b:Source>
  <b:Source xmlns:b="http://schemas.openxmlformats.org/officeDocument/2006/bibliography">
    <b:Tag xmlns:b="http://schemas.openxmlformats.org/officeDocument/2006/bibliography">Kos32</b:Tag>
    <b:SourceType xmlns:b="http://schemas.openxmlformats.org/officeDocument/2006/bibliography">ConferenceProceedings</b:SourceType>
    <b:Guid xmlns:b="http://schemas.openxmlformats.org/officeDocument/2006/bibliography">{4F7B81F6-58B3-4F36-B77C-25B5C070B6F2}</b:Guid>
    <b:Title xmlns:b="http://schemas.openxmlformats.org/officeDocument/2006/bibliography">On the Dynamics of the Coefficient of Water Percolation in Soils and the Necessity for Studying It from a Dynamic Point of View for Purposesof Amelioration</b:Title>
    <b:Year xmlns:b="http://schemas.openxmlformats.org/officeDocument/2006/bibliography">1932</b:Year>
    <b:City xmlns:b="http://schemas.openxmlformats.org/officeDocument/2006/bibliography">Russia</b:City>
    <b:Publisher xmlns:b="http://schemas.openxmlformats.org/officeDocument/2006/bibliography">Transactions of the Sixth Commission of the International Society of Soil Science</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Kostiakov</b:Last>
            <b:First xmlns:b="http://schemas.openxmlformats.org/officeDocument/2006/bibliography">A.N</b:First>
          </b:Person>
        </b:NameList>
      </b:Author>
    </b:Author>
    <b:RefOrder xmlns:b="http://schemas.openxmlformats.org/officeDocument/2006/bibliography">15</b:RefOrder>
  </b:Source>
  <b:Source xmlns:b="http://schemas.openxmlformats.org/officeDocument/2006/bibliography">
    <b:Tag xmlns:b="http://schemas.openxmlformats.org/officeDocument/2006/bibliography">Phi57</b:Tag>
    <b:SourceType xmlns:b="http://schemas.openxmlformats.org/officeDocument/2006/bibliography">JournalArticle</b:SourceType>
    <b:Guid xmlns:b="http://schemas.openxmlformats.org/officeDocument/2006/bibliography">{F4090453-278B-4395-B44A-526F2D48932D}</b:Guid>
    <b:Title xmlns:b="http://schemas.openxmlformats.org/officeDocument/2006/bibliography">The Theory of Infiltration: 2. The Profile at Infinity</b:Title>
    <b:Year xmlns:b="http://schemas.openxmlformats.org/officeDocument/2006/bibliography">1957</b:Year>
    <b:JournalName xmlns:b="http://schemas.openxmlformats.org/officeDocument/2006/bibliography">Soil Science</b:JournalName>
    <b:Pages xmlns:b="http://schemas.openxmlformats.org/officeDocument/2006/bibliography">435-448</b:Pages>
    <b:Volume xmlns:b="http://schemas.openxmlformats.org/officeDocument/2006/bibliography">83</b:Volume>
    <b:Issue xmlns:b="http://schemas.openxmlformats.org/officeDocument/2006/bibliography">https://doi.org/10.1097/00010694-195706000-00003</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Philip</b:Last>
            <b:First xmlns:b="http://schemas.openxmlformats.org/officeDocument/2006/bibliography">J.R</b:First>
          </b:Person>
        </b:NameList>
      </b:Author>
    </b:Author>
    <b:RefOrder xmlns:b="http://schemas.openxmlformats.org/officeDocument/2006/bibliography">8</b:RefOrder>
  </b:Source>
  <b:Source xmlns:b="http://schemas.openxmlformats.org/officeDocument/2006/bibliography">
    <b:Tag xmlns:b="http://schemas.openxmlformats.org/officeDocument/2006/bibliography">AST</b:Tag>
    <b:SourceType xmlns:b="http://schemas.openxmlformats.org/officeDocument/2006/bibliography">JournalArticle</b:SourceType>
    <b:Guid xmlns:b="http://schemas.openxmlformats.org/officeDocument/2006/bibliography">{73C25D08-C857-465E-898A-406CE7BCF2DD}</b:Guid>
    <b:Title xmlns:b="http://schemas.openxmlformats.org/officeDocument/2006/bibliography">Double-Ring Infiltrometer for In-Situ Permeability Determination of Dam Material</b:Titl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Ronnqvist</b:Last>
            <b:First xmlns:b="http://schemas.openxmlformats.org/officeDocument/2006/bibliography">H</b:First>
          </b:Person>
        </b:NameList>
      </b:Author>
    </b:Author>
    <b:City xmlns:b="http://schemas.openxmlformats.org/officeDocument/2006/bibliography">West Conshohocken, PA</b:City>
    <b:Publisher xmlns:b="http://schemas.openxmlformats.org/officeDocument/2006/bibliography">ASTM International</b:Publisher>
    <b:Year xmlns:b="http://schemas.openxmlformats.org/officeDocument/2006/bibliography">2018</b:Year>
    <b:JournalName xmlns:b="http://schemas.openxmlformats.org/officeDocument/2006/bibliography">Engineering, </b:JournalName>
    <b:Pages xmlns:b="http://schemas.openxmlformats.org/officeDocument/2006/bibliography">320-328</b:Pages>
    <b:Volume xmlns:b="http://schemas.openxmlformats.org/officeDocument/2006/bibliography">10</b:Volume>
    <b:Issue xmlns:b="http://schemas.openxmlformats.org/officeDocument/2006/bibliography">6</b:Issue>
    <b:RefOrder xmlns:b="http://schemas.openxmlformats.org/officeDocument/2006/bibliography">44</b:RefOrder>
  </b:Source>
  <b:Source xmlns:b="http://schemas.openxmlformats.org/officeDocument/2006/bibliography">
    <b:Tag xmlns:b="http://schemas.openxmlformats.org/officeDocument/2006/bibliography">USD17</b:Tag>
    <b:SourceType xmlns:b="http://schemas.openxmlformats.org/officeDocument/2006/bibliography">Book</b:SourceType>
    <b:Guid xmlns:b="http://schemas.openxmlformats.org/officeDocument/2006/bibliography">{6A7DAF6D-6E2D-4624-AC1E-2D1C6A89AC16}</b:Guid>
    <b:Author xmlns:b="http://schemas.openxmlformats.org/officeDocument/2006/bibliography">
      <b:Author xmlns:b="http://schemas.openxmlformats.org/officeDocument/2006/bibliography">
        <b:Corporate xmlns:b="http://schemas.openxmlformats.org/officeDocument/2006/bibliography">USDA</b:Corporate>
      </b:Author>
    </b:Author>
    <b:Title xmlns:b="http://schemas.openxmlformats.org/officeDocument/2006/bibliography">Soil Survey Manual</b:Title>
    <b:Year xmlns:b="http://schemas.openxmlformats.org/officeDocument/2006/bibliography">2017</b:Year>
    <b:City xmlns:b="http://schemas.openxmlformats.org/officeDocument/2006/bibliography">US</b:City>
    <b:Publisher xmlns:b="http://schemas.openxmlformats.org/officeDocument/2006/bibliography">USDA, Agriculture Handbook </b:Publisher>
    <b:Edition xmlns:b="http://schemas.openxmlformats.org/officeDocument/2006/bibliography">18</b:Edition>
    <b:RefOrder xmlns:b="http://schemas.openxmlformats.org/officeDocument/2006/bibliography">45</b:RefOrder>
  </b:Source>
  <b:Source xmlns:b="http://schemas.openxmlformats.org/officeDocument/2006/bibliography">
    <b:Tag xmlns:b="http://schemas.openxmlformats.org/officeDocument/2006/bibliography">Gre40</b:Tag>
    <b:SourceType xmlns:b="http://schemas.openxmlformats.org/officeDocument/2006/bibliography">JournalArticle</b:SourceType>
    <b:Guid xmlns:b="http://schemas.openxmlformats.org/officeDocument/2006/bibliography">{411315EE-C229-4170-971F-744887919123}</b:Guid>
    <b:Title xmlns:b="http://schemas.openxmlformats.org/officeDocument/2006/bibliography">Studies on Soil Physics, 1: The Flow of Air and Water through Soils</b:Title>
    <b:JournalName xmlns:b="http://schemas.openxmlformats.org/officeDocument/2006/bibliography">Soil Science Society of America Journal</b:JournalName>
    <b:Year xmlns:b="http://schemas.openxmlformats.org/officeDocument/2006/bibliography">1911</b:Year>
    <b:Pages xmlns:b="http://schemas.openxmlformats.org/officeDocument/2006/bibliography">339-417</b:Pages>
    <b:Volume xmlns:b="http://schemas.openxmlformats.org/officeDocument/2006/bibliography">5</b:Volume>
    <b:Issue xmlns:b="http://schemas.openxmlformats.org/officeDocument/2006/bibliography">https://doi.org/10.1017/S0021859600001441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Green</b:Last>
            <b:First xmlns:b="http://schemas.openxmlformats.org/officeDocument/2006/bibliography">W.H</b:First>
          </b:Person>
          <b:Person xmlns:b="http://schemas.openxmlformats.org/officeDocument/2006/bibliography">
            <b:Last xmlns:b="http://schemas.openxmlformats.org/officeDocument/2006/bibliography">Ampt</b:Last>
            <b:First xmlns:b="http://schemas.openxmlformats.org/officeDocument/2006/bibliography">G.A</b:First>
          </b:Person>
        </b:NameList>
      </b:Author>
    </b:Author>
    <b:RefOrder xmlns:b="http://schemas.openxmlformats.org/officeDocument/2006/bibliography">7</b:RefOrder>
  </b:Source>
  <b:Source xmlns:b="http://schemas.openxmlformats.org/officeDocument/2006/bibliography">
    <b:Tag xmlns:b="http://schemas.openxmlformats.org/officeDocument/2006/bibliography">Placeholder2</b:Tag>
    <b:SourceType xmlns:b="http://schemas.openxmlformats.org/officeDocument/2006/bibliography">JournalArticle</b:SourceType>
    <b:Guid xmlns:b="http://schemas.openxmlformats.org/officeDocument/2006/bibliography">{3A7766A3-83FD-4969-A991-B9772635514D}</b:Guid>
    <b:Title xmlns:b="http://schemas.openxmlformats.org/officeDocument/2006/bibliography">Studies on Soil Physics, 1: The Flow of Air and Water through Soils</b:Title>
    <b:JournalName xmlns:b="http://schemas.openxmlformats.org/officeDocument/2006/bibliography">Soil Science Society of America Journal</b:JournalName>
    <b:Year xmlns:b="http://schemas.openxmlformats.org/officeDocument/2006/bibliography">1911</b:Year>
    <b:Pages xmlns:b="http://schemas.openxmlformats.org/officeDocument/2006/bibliography">339-417</b:Pages>
    <b:Volume xmlns:b="http://schemas.openxmlformats.org/officeDocument/2006/bibliography">5</b:Volume>
    <b:Issue xmlns:b="http://schemas.openxmlformats.org/officeDocument/2006/bibliography">https://doi.org/10.1017/S0021859600001441</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Green</b:Last>
            <b:First xmlns:b="http://schemas.openxmlformats.org/officeDocument/2006/bibliography">W.H</b:First>
          </b:Person>
          <b:Person xmlns:b="http://schemas.openxmlformats.org/officeDocument/2006/bibliography">
            <b:Last xmlns:b="http://schemas.openxmlformats.org/officeDocument/2006/bibliography">Ampt</b:Last>
            <b:First xmlns:b="http://schemas.openxmlformats.org/officeDocument/2006/bibliography">G.A</b:First>
          </b:Person>
        </b:NameList>
      </b:Author>
    </b:Author>
    <b:RefOrder xmlns:b="http://schemas.openxmlformats.org/officeDocument/2006/bibliography">46</b:RefOrder>
  </b:Source>
  <b:Source xmlns:b="http://schemas.openxmlformats.org/officeDocument/2006/bibliography">
    <b:Tag xmlns:b="http://schemas.openxmlformats.org/officeDocument/2006/bibliography">Placeholder1</b:Tag>
    <b:SourceType xmlns:b="http://schemas.openxmlformats.org/officeDocument/2006/bibliography">JournalArticle</b:SourceType>
    <b:Guid xmlns:b="http://schemas.openxmlformats.org/officeDocument/2006/bibliography">{097E855F-A1F6-475E-AFD0-7B41AFB040DF}</b:Guid>
    <b:Title xmlns:b="http://schemas.openxmlformats.org/officeDocument/2006/bibliography">Approach toward a Physical Interpretation of Infiltration Capacity</b:Title>
    <b:JournalName xmlns:b="http://schemas.openxmlformats.org/officeDocument/2006/bibliography">Soil Science Society of America Journal</b:JournalName>
    <b:Year xmlns:b="http://schemas.openxmlformats.org/officeDocument/2006/bibliography">1938</b:Year>
    <b:Pages xmlns:b="http://schemas.openxmlformats.org/officeDocument/2006/bibliography">339-417</b:Pages>
    <b:Volume xmlns:b="http://schemas.openxmlformats.org/officeDocument/2006/bibliography">5</b:Volume>
    <b:Issue xmlns:b="http://schemas.openxmlformats.org/officeDocument/2006/bibliography">https://doi.org/10.1097/00010694-195706000-00003</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Horton</b:Last>
            <b:First xmlns:b="http://schemas.openxmlformats.org/officeDocument/2006/bibliography">R.E</b:First>
          </b:Person>
        </b:NameList>
      </b:Author>
    </b:Author>
    <b:RefOrder xmlns:b="http://schemas.openxmlformats.org/officeDocument/2006/bibliography">11</b:RefOrder>
  </b:Source>
  <b:Source xmlns:b="http://schemas.openxmlformats.org/officeDocument/2006/bibliography">
    <b:Tag xmlns:b="http://schemas.openxmlformats.org/officeDocument/2006/bibliography">Goo24</b:Tag>
    <b:SourceType xmlns:b="http://schemas.openxmlformats.org/officeDocument/2006/bibliography">InternetSite</b:SourceType>
    <b:Guid xmlns:b="http://schemas.openxmlformats.org/officeDocument/2006/bibliography">{18BC20BA-810A-428D-B95C-3FF8C2FD92DB}</b:Guid>
    <b:Title xmlns:b="http://schemas.openxmlformats.org/officeDocument/2006/bibliography">Google Earth Pro</b:Title>
    <b:Year xmlns:b="http://schemas.openxmlformats.org/officeDocument/2006/bibliography">2024</b:Year>
    <b:Author xmlns:b="http://schemas.openxmlformats.org/officeDocument/2006/bibliography">
      <b:Author xmlns:b="http://schemas.openxmlformats.org/officeDocument/2006/bibliography">
        <b:Corporate xmlns:b="http://schemas.openxmlformats.org/officeDocument/2006/bibliography">Google</b:Corporate>
      </b:Author>
    </b:Author>
    <b:YearAccessed xmlns:b="http://schemas.openxmlformats.org/officeDocument/2006/bibliography">2024</b:YearAccessed>
    <b:MonthAccessed xmlns:b="http://schemas.openxmlformats.org/officeDocument/2006/bibliography">July</b:MonthAccessed>
    <b:DayAccessed xmlns:b="http://schemas.openxmlformats.org/officeDocument/2006/bibliography">25</b:DayAccessed>
    <b:URL xmlns:b="http://schemas.openxmlformats.org/officeDocument/2006/bibliography">https://www.google.com/earth/</b:URL>
    <b:RefOrder xmlns:b="http://schemas.openxmlformats.org/officeDocument/2006/bibliography">47</b:RefOrder>
  </b:Source>
  <b:Source xmlns:b="http://schemas.openxmlformats.org/officeDocument/2006/bibliography">
    <b:Tag xmlns:b="http://schemas.openxmlformats.org/officeDocument/2006/bibliography">Mba93</b:Tag>
    <b:SourceType xmlns:b="http://schemas.openxmlformats.org/officeDocument/2006/bibliography">JournalArticle</b:SourceType>
    <b:Guid xmlns:b="http://schemas.openxmlformats.org/officeDocument/2006/bibliography">{66F30AEA-1F95-4DA6-B524-39D660C52BCD}</b:Guid>
    <b:Title xmlns:b="http://schemas.openxmlformats.org/officeDocument/2006/bibliography">Testing the goodness of fit of selected infiltration models on soils with different land use histories</b:Title>
    <b:JournalName xmlns:b="http://schemas.openxmlformats.org/officeDocument/2006/bibliography">International Centre for Theoretical Physics, Trieste (Italy)</b:JournalName>
    <b:Year xmlns:b="http://schemas.openxmlformats.org/officeDocument/2006/bibliography">1993</b:Year>
    <b:Issue xmlns:b="http://schemas.openxmlformats.org/officeDocument/2006/bibliography">93/290</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Mbagwu</b:Last>
            <b:First xmlns:b="http://schemas.openxmlformats.org/officeDocument/2006/bibliography">J.S.C</b:First>
          </b:Person>
        </b:NameList>
      </b:Author>
    </b:Author>
    <b:RefOrder xmlns:b="http://schemas.openxmlformats.org/officeDocument/2006/bibliography">3</b:RefOrder>
  </b:Source>
  <b:Source xmlns:b="http://schemas.openxmlformats.org/officeDocument/2006/bibliography">
    <b:Tag xmlns:b="http://schemas.openxmlformats.org/officeDocument/2006/bibliography">Oku11</b:Tag>
    <b:SourceType xmlns:b="http://schemas.openxmlformats.org/officeDocument/2006/bibliography">JournalArticle</b:SourceType>
    <b:Guid xmlns:b="http://schemas.openxmlformats.org/officeDocument/2006/bibliography">{BB7C4C30-F06E-46B4-B024-2434DF7506DC}</b:Guid>
    <b:Title xmlns:b="http://schemas.openxmlformats.org/officeDocument/2006/bibliography">Predictability of Philip and Kostiakov Infiltration Models under Inceptisols in the Humid Forest Zone, Nigeria</b:Title>
    <b:Year xmlns:b="http://schemas.openxmlformats.org/officeDocument/2006/bibliography">2011</b:Year>
    <b:JournalName xmlns:b="http://schemas.openxmlformats.org/officeDocument/2006/bibliography">Kasetsart Journal (Natural Science)</b:JournalName>
    <b:Pages xmlns:b="http://schemas.openxmlformats.org/officeDocument/2006/bibliography">594-602</b:Pages>
    <b:Volume xmlns:b="http://schemas.openxmlformats.org/officeDocument/2006/bibliography">45</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Oku</b:Last>
            <b:First xmlns:b="http://schemas.openxmlformats.org/officeDocument/2006/bibliography">Effiom </b:First>
          </b:Person>
          <b:Person xmlns:b="http://schemas.openxmlformats.org/officeDocument/2006/bibliography">
            <b:Last xmlns:b="http://schemas.openxmlformats.org/officeDocument/2006/bibliography">Aiyelari</b:Last>
            <b:First xmlns:b="http://schemas.openxmlformats.org/officeDocument/2006/bibliography">Ambrose</b:First>
          </b:Person>
        </b:NameList>
      </b:Author>
    </b:Author>
    <b:RefOrder xmlns:b="http://schemas.openxmlformats.org/officeDocument/2006/bibliography">1</b:RefOrder>
  </b:Source>
  <b:Source xmlns:b="http://schemas.openxmlformats.org/officeDocument/2006/bibliography">
    <b:Tag xmlns:b="http://schemas.openxmlformats.org/officeDocument/2006/bibliography">Mei73</b:Tag>
    <b:SourceType xmlns:b="http://schemas.openxmlformats.org/officeDocument/2006/bibliography">JournalArticle</b:SourceType>
    <b:Guid xmlns:b="http://schemas.openxmlformats.org/officeDocument/2006/bibliography">{A894BAD4-53A0-4DC0-98F0-BAD67CF8D4E5}</b:Guid>
    <b:Title xmlns:b="http://schemas.openxmlformats.org/officeDocument/2006/bibliography">Modelling infiltration during a steady rain. </b:Title>
    <b:Year xmlns:b="http://schemas.openxmlformats.org/officeDocument/2006/bibliography">1973</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Mein</b:Last>
            <b:Middle xmlns:b="http://schemas.openxmlformats.org/officeDocument/2006/bibliography">G</b:Middle>
            <b:First xmlns:b="http://schemas.openxmlformats.org/officeDocument/2006/bibliography">R</b:First>
          </b:Person>
          <b:Person xmlns:b="http://schemas.openxmlformats.org/officeDocument/2006/bibliography">
            <b:Last xmlns:b="http://schemas.openxmlformats.org/officeDocument/2006/bibliography">Larson</b:Last>
            <b:Middle xmlns:b="http://schemas.openxmlformats.org/officeDocument/2006/bibliography">L</b:Middle>
            <b:First xmlns:b="http://schemas.openxmlformats.org/officeDocument/2006/bibliography">C</b:First>
          </b:Person>
        </b:NameList>
      </b:Author>
    </b:Author>
    <b:JournalName xmlns:b="http://schemas.openxmlformats.org/officeDocument/2006/bibliography">Water Resources Research, </b:JournalName>
    <b:Pages xmlns:b="http://schemas.openxmlformats.org/officeDocument/2006/bibliography">384-394</b:Pages>
    <b:Volume xmlns:b="http://schemas.openxmlformats.org/officeDocument/2006/bibliography">9</b:Volume>
    <b:Issue xmlns:b="http://schemas.openxmlformats.org/officeDocument/2006/bibliography">2</b:Issue>
    <b:RefOrder xmlns:b="http://schemas.openxmlformats.org/officeDocument/2006/bibliography">9</b:RefOrder>
  </b:Source>
  <b:Source xmlns:b="http://schemas.openxmlformats.org/officeDocument/2006/bibliography">
    <b:Tag xmlns:b="http://schemas.openxmlformats.org/officeDocument/2006/bibliography">Smi78</b:Tag>
    <b:SourceType xmlns:b="http://schemas.openxmlformats.org/officeDocument/2006/bibliography">JournalArticle</b:SourceType>
    <b:Guid xmlns:b="http://schemas.openxmlformats.org/officeDocument/2006/bibliography">{4D2F918A-82F7-4CFF-90CE-96A128C094CA}</b:Guid>
    <b:Title xmlns:b="http://schemas.openxmlformats.org/officeDocument/2006/bibliography">A parameter-efficient hydrologic infiltration model. </b:Title>
    <b:JournalName xmlns:b="http://schemas.openxmlformats.org/officeDocument/2006/bibliography">Water Resources Research,</b:JournalName>
    <b:Year xmlns:b="http://schemas.openxmlformats.org/officeDocument/2006/bibliography">1978</b:Year>
    <b:Pages xmlns:b="http://schemas.openxmlformats.org/officeDocument/2006/bibliography">533-538</b:Pages>
    <b:Volume xmlns:b="http://schemas.openxmlformats.org/officeDocument/2006/bibliography">14</b:Volume>
    <b:Issue xmlns:b="http://schemas.openxmlformats.org/officeDocument/2006/bibliography">3</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Smith</b:Last>
            <b:Middle xmlns:b="http://schemas.openxmlformats.org/officeDocument/2006/bibliography">E</b:Middle>
            <b:First xmlns:b="http://schemas.openxmlformats.org/officeDocument/2006/bibliography">R</b:First>
          </b:Person>
          <b:Person xmlns:b="http://schemas.openxmlformats.org/officeDocument/2006/bibliography">
            <b:Last xmlns:b="http://schemas.openxmlformats.org/officeDocument/2006/bibliography">Parlange</b:Last>
            <b:Middle xmlns:b="http://schemas.openxmlformats.org/officeDocument/2006/bibliography">Y</b:Middle>
            <b:First xmlns:b="http://schemas.openxmlformats.org/officeDocument/2006/bibliography">J</b:First>
          </b:Person>
        </b:NameList>
      </b:Author>
    </b:Author>
    <b:RefOrder xmlns:b="http://schemas.openxmlformats.org/officeDocument/2006/bibliography">10</b:RefOrder>
  </b:Source>
  <b:Source xmlns:b="http://schemas.openxmlformats.org/officeDocument/2006/bibliography">
    <b:Tag xmlns:b="http://schemas.openxmlformats.org/officeDocument/2006/bibliography">Hol61</b:Tag>
    <b:SourceType xmlns:b="http://schemas.openxmlformats.org/officeDocument/2006/bibliography">BookSection</b:SourceType>
    <b:Guid xmlns:b="http://schemas.openxmlformats.org/officeDocument/2006/bibliography">{62B0D492-85A1-416A-BF07-8367B6E3EC0B}</b:Guid>
    <b:Title xmlns:b="http://schemas.openxmlformats.org/officeDocument/2006/bibliography">A Concept for Infiltration Estimates in Watershed Engineering</b:Title>
    <b:Year xmlns:b="http://schemas.openxmlformats.org/officeDocument/2006/bibliography">1961</b:Yea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Holtan</b:Last>
            <b:Middle xmlns:b="http://schemas.openxmlformats.org/officeDocument/2006/bibliography">N</b:Middle>
            <b:First xmlns:b="http://schemas.openxmlformats.org/officeDocument/2006/bibliography">H</b:First>
          </b:Person>
        </b:NameList>
      </b:Author>
    </b:Author>
    <b:Publisher xmlns:b="http://schemas.openxmlformats.org/officeDocument/2006/bibliography">United States Department of Agriculture, Agricultural Research Service</b:Publisher>
    <b:RefOrder xmlns:b="http://schemas.openxmlformats.org/officeDocument/2006/bibliography">12</b:RefOrder>
  </b:Source>
  <b:Source xmlns:b="http://schemas.openxmlformats.org/officeDocument/2006/bibliography">
    <b:Tag xmlns:b="http://schemas.openxmlformats.org/officeDocument/2006/bibliography">Sin90</b:Tag>
    <b:SourceType xmlns:b="http://schemas.openxmlformats.org/officeDocument/2006/bibliography">JournalArticle</b:SourceType>
    <b:Guid xmlns:b="http://schemas.openxmlformats.org/officeDocument/2006/bibliography">{DF86769F-BCF7-4634-9D66-D66953E42C62}</b:Guid>
    <b:Title xmlns:b="http://schemas.openxmlformats.org/officeDocument/2006/bibliography">Interrelations between the SCS curve number and hydrologic variables.</b:Title>
    <b:BookTitle xmlns:b="http://schemas.openxmlformats.org/officeDocument/2006/bibliography">(1990).</b:BookTitle>
    <b:Year xmlns:b="http://schemas.openxmlformats.org/officeDocument/2006/bibliography">1990</b:Year>
    <b:Pages xmlns:b="http://schemas.openxmlformats.org/officeDocument/2006/bibliography">36-45</b:Pages>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Singh</b:Last>
            <b:Middle xmlns:b="http://schemas.openxmlformats.org/officeDocument/2006/bibliography">P</b:Middle>
            <b:First xmlns:b="http://schemas.openxmlformats.org/officeDocument/2006/bibliography">V</b:First>
          </b:Person>
          <b:Person xmlns:b="http://schemas.openxmlformats.org/officeDocument/2006/bibliography">
            <b:Last xmlns:b="http://schemas.openxmlformats.org/officeDocument/2006/bibliography">Yu</b:Last>
            <b:Middle xmlns:b="http://schemas.openxmlformats.org/officeDocument/2006/bibliography">X</b:Middle>
            <b:First xmlns:b="http://schemas.openxmlformats.org/officeDocument/2006/bibliography">F</b:First>
          </b:Person>
        </b:NameList>
      </b:Author>
    </b:Author>
    <b:JournalName xmlns:b="http://schemas.openxmlformats.org/officeDocument/2006/bibliography">Advances in Water Resources</b:JournalName>
    <b:Volume xmlns:b="http://schemas.openxmlformats.org/officeDocument/2006/bibliography">13</b:Volume>
    <b:Issue xmlns:b="http://schemas.openxmlformats.org/officeDocument/2006/bibliography">1</b:Issue>
    <b:RefOrder xmlns:b="http://schemas.openxmlformats.org/officeDocument/2006/bibliography">13</b:RefOrder>
  </b:Source>
  <b:Source xmlns:b="http://schemas.openxmlformats.org/officeDocument/2006/bibliography">
    <b:Tag xmlns:b="http://schemas.openxmlformats.org/officeDocument/2006/bibliography">Gri91</b:Tag>
    <b:SourceType xmlns:b="http://schemas.openxmlformats.org/officeDocument/2006/bibliography">JournalArticle</b:SourceType>
    <b:Guid xmlns:b="http://schemas.openxmlformats.org/officeDocument/2006/bibliography">{5D0FE627-BB21-4781-B594-4FDD2D995551}</b:Guid>
    <b:Title xmlns:b="http://schemas.openxmlformats.org/officeDocument/2006/bibliography">Dynamic simulation model of vertical infiltration of water in soil</b:Title>
    <b:JournalName xmlns:b="http://schemas.openxmlformats.org/officeDocument/2006/bibliography">Hydrological Sciences Journal</b:JournalName>
    <b:Year xmlns:b="http://schemas.openxmlformats.org/officeDocument/2006/bibliography">1991</b:Year>
    <b:Pages xmlns:b="http://schemas.openxmlformats.org/officeDocument/2006/bibliography">171-179</b:Pages>
    <b:Volume xmlns:b="http://schemas.openxmlformats.org/officeDocument/2006/bibliography">36</b:Volume>
    <b:Issue xmlns:b="http://schemas.openxmlformats.org/officeDocument/2006/bibliography">2</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Grigorjev</b:Last>
            <b:Middle xmlns:b="http://schemas.openxmlformats.org/officeDocument/2006/bibliography">Y</b:Middle>
            <b:First xmlns:b="http://schemas.openxmlformats.org/officeDocument/2006/bibliography">V</b:First>
          </b:Person>
          <b:Person xmlns:b="http://schemas.openxmlformats.org/officeDocument/2006/bibliography">
            <b:Last xmlns:b="http://schemas.openxmlformats.org/officeDocument/2006/bibliography">Iritz</b:Last>
            <b:First xmlns:b="http://schemas.openxmlformats.org/officeDocument/2006/bibliography">L</b:First>
          </b:Person>
        </b:NameList>
      </b:Author>
    </b:Author>
    <b:RefOrder xmlns:b="http://schemas.openxmlformats.org/officeDocument/2006/bibliography">14</b:RefOrder>
  </b:Source>
  <b:Source xmlns:b="http://schemas.openxmlformats.org/officeDocument/2006/bibliography">
    <b:Tag xmlns:b="http://schemas.openxmlformats.org/officeDocument/2006/bibliography">Hug66</b:Tag>
    <b:SourceType xmlns:b="http://schemas.openxmlformats.org/officeDocument/2006/bibliography">Report</b:SourceType>
    <b:Guid xmlns:b="http://schemas.openxmlformats.org/officeDocument/2006/bibliography">{B8BB71D2-273C-4AEB-814C-B7222E6FF539}</b:Guid>
    <b:Title xmlns:b="http://schemas.openxmlformats.org/officeDocument/2006/bibliography">The Mathematical Simulation of the Hydrology of Small Watersheds.</b:Title>
    <b:Year xmlns:b="http://schemas.openxmlformats.org/officeDocument/2006/bibliography">1966</b:Year>
    <b:Publisher xmlns:b="http://schemas.openxmlformats.org/officeDocument/2006/bibliography">Water Resources Research Center, Purdue University, West Lafayette, Indiana</b:Publisher>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Huggins</b:Last>
            <b:Middle xmlns:b="http://schemas.openxmlformats.org/officeDocument/2006/bibliography">F</b:Middle>
            <b:First xmlns:b="http://schemas.openxmlformats.org/officeDocument/2006/bibliography">L</b:First>
          </b:Person>
          <b:Person xmlns:b="http://schemas.openxmlformats.org/officeDocument/2006/bibliography">
            <b:Last xmlns:b="http://schemas.openxmlformats.org/officeDocument/2006/bibliography">Monke</b:Last>
            <b:Middle xmlns:b="http://schemas.openxmlformats.org/officeDocument/2006/bibliography">J</b:Middle>
            <b:First xmlns:b="http://schemas.openxmlformats.org/officeDocument/2006/bibliography">E</b:First>
          </b:Person>
        </b:NameList>
      </b:Author>
    </b:Author>
    <b:RefOrder xmlns:b="http://schemas.openxmlformats.org/officeDocument/2006/bibliography">16</b:RefOrder>
  </b:Source>
  <b:Source xmlns:b="http://schemas.openxmlformats.org/officeDocument/2006/bibliography">
    <b:Tag xmlns:b="http://schemas.openxmlformats.org/officeDocument/2006/bibliography">Col77</b:Tag>
    <b:SourceType xmlns:b="http://schemas.openxmlformats.org/officeDocument/2006/bibliography">JournalArticle</b:SourceType>
    <b:Guid xmlns:b="http://schemas.openxmlformats.org/officeDocument/2006/bibliography">{78C85ADC-E655-48D1-930C-32511D65695C}</b:Guid>
    <b:Title xmlns:b="http://schemas.openxmlformats.org/officeDocument/2006/bibliography">Infiltration equations for simple soil systems</b:Title>
    <b:Year xmlns:b="http://schemas.openxmlformats.org/officeDocument/2006/bibliography">1977</b:Year>
    <b:JournalName xmlns:b="http://schemas.openxmlformats.org/officeDocument/2006/bibliography">Water Resources Resaerch</b:JournalName>
    <b:Pages xmlns:b="http://schemas.openxmlformats.org/officeDocument/2006/bibliography">395-403</b:Pages>
    <b:Volume xmlns:b="http://schemas.openxmlformats.org/officeDocument/2006/bibliography">13</b:Volume>
    <b:Issue xmlns:b="http://schemas.openxmlformats.org/officeDocument/2006/bibliography">2</b:Issu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Collis-George</b:Last>
            <b:First xmlns:b="http://schemas.openxmlformats.org/officeDocument/2006/bibliography">N</b:First>
          </b:Person>
        </b:NameList>
      </b:Author>
    </b:Author>
    <b:RefOrder xmlns:b="http://schemas.openxmlformats.org/officeDocument/2006/bibliography">17</b:RefOrder>
  </b:Source>
  <b:Source xmlns:b="http://schemas.openxmlformats.org/officeDocument/2006/bibliography">
    <b:Tag xmlns:b="http://schemas.openxmlformats.org/officeDocument/2006/bibliography">Mor07</b:Tag>
    <b:SourceType xmlns:b="http://schemas.openxmlformats.org/officeDocument/2006/bibliography">JournalArticle</b:SourceType>
    <b:Guid xmlns:b="http://schemas.openxmlformats.org/officeDocument/2006/bibliography">{11ADCEDA-8997-4765-A5AF-26CC5E50809C}</b:Guid>
    <b:Title xmlns:b="http://schemas.openxmlformats.org/officeDocument/2006/bibliography">Model evaluation guidelines for systematic quantification of accuracy in watershed simulations</b:Title>
    <b:JournalName xmlns:b="http://schemas.openxmlformats.org/officeDocument/2006/bibliography">American Society of Agricultural and Biological Engineers</b:JournalName>
    <b:Year xmlns:b="http://schemas.openxmlformats.org/officeDocument/2006/bibliography">2007</b:Year>
    <b:Pages xmlns:b="http://schemas.openxmlformats.org/officeDocument/2006/bibliography">885–900</b:Pages>
    <b:Volume xmlns:b="http://schemas.openxmlformats.org/officeDocument/2006/bibliography">50</b:Volume>
    <b:Author xmlns:b="http://schemas.openxmlformats.org/officeDocument/2006/bibliography">
      <b:Author xmlns:b="http://schemas.openxmlformats.org/officeDocument/2006/bibliography">
        <b:NameList xmlns:b="http://schemas.openxmlformats.org/officeDocument/2006/bibliography">
          <b:Person xmlns:b="http://schemas.openxmlformats.org/officeDocument/2006/bibliography">
            <b:Last xmlns:b="http://schemas.openxmlformats.org/officeDocument/2006/bibliography">Moriasi</b:Last>
            <b:First xmlns:b="http://schemas.openxmlformats.org/officeDocument/2006/bibliography">D.N</b:First>
          </b:Person>
          <b:Person xmlns:b="http://schemas.openxmlformats.org/officeDocument/2006/bibliography">
            <b:Last xmlns:b="http://schemas.openxmlformats.org/officeDocument/2006/bibliography">Arnold</b:Last>
            <b:First xmlns:b="http://schemas.openxmlformats.org/officeDocument/2006/bibliography">J.G</b:First>
          </b:Person>
          <b:Person xmlns:b="http://schemas.openxmlformats.org/officeDocument/2006/bibliography">
            <b:Last xmlns:b="http://schemas.openxmlformats.org/officeDocument/2006/bibliography">Van Liew</b:Last>
            <b:First xmlns:b="http://schemas.openxmlformats.org/officeDocument/2006/bibliography">M.W</b:First>
          </b:Person>
          <b:Person xmlns:b="http://schemas.openxmlformats.org/officeDocument/2006/bibliography">
            <b:Last xmlns:b="http://schemas.openxmlformats.org/officeDocument/2006/bibliography">Binger</b:Last>
            <b:First xmlns:b="http://schemas.openxmlformats.org/officeDocument/2006/bibliography">R.L</b:First>
          </b:Person>
          <b:Person xmlns:b="http://schemas.openxmlformats.org/officeDocument/2006/bibliography">
            <b:Last xmlns:b="http://schemas.openxmlformats.org/officeDocument/2006/bibliography">Harmel</b:Last>
            <b:First xmlns:b="http://schemas.openxmlformats.org/officeDocument/2006/bibliography">R.D</b:First>
          </b:Person>
          <b:Person xmlns:b="http://schemas.openxmlformats.org/officeDocument/2006/bibliography">
            <b:Last xmlns:b="http://schemas.openxmlformats.org/officeDocument/2006/bibliography">Veith</b:Last>
            <b:First xmlns:b="http://schemas.openxmlformats.org/officeDocument/2006/bibliography">T.L</b:First>
          </b:Person>
        </b:NameList>
      </b:Author>
    </b:Author>
    <b:RefOrder xmlns:b="http://schemas.openxmlformats.org/officeDocument/2006/bibliography">48</b:RefOrder>
  </b:Source>
  <b:Source xmlns:b="http://schemas.openxmlformats.org/officeDocument/2006/bibliography">
    <b:Tag xmlns:b="http://schemas.openxmlformats.org/officeDocument/2006/bibliography">Uni18</b:Tag>
    <b:SourceType xmlns:b="http://schemas.openxmlformats.org/officeDocument/2006/bibliography">Book</b:SourceType>
    <b:Guid xmlns:b="http://schemas.openxmlformats.org/officeDocument/2006/bibliography">{BCF96920-B50D-4C66-8305-CF2D31C0B3F1}</b:Guid>
    <b:Title xmlns:b="http://schemas.openxmlformats.org/officeDocument/2006/bibliography">Soil Survey Manual</b:Title>
    <b:Year xmlns:b="http://schemas.openxmlformats.org/officeDocument/2006/bibliography">2018</b:Year>
    <b:Publisher xmlns:b="http://schemas.openxmlformats.org/officeDocument/2006/bibliography">United States Department of Agriculture</b:Publisher>
    <b:City xmlns:b="http://schemas.openxmlformats.org/officeDocument/2006/bibliography">Washington, D.C. </b:City>
    <b:Author xmlns:b="http://schemas.openxmlformats.org/officeDocument/2006/bibliography">
      <b:Author xmlns:b="http://schemas.openxmlformats.org/officeDocument/2006/bibliography">
        <b:Corporate xmlns:b="http://schemas.openxmlformats.org/officeDocument/2006/bibliography">United States Department of Agriculture</b:Corporate>
      </b:Author>
    </b:Author>
    <b:RefOrder xmlns:b="http://schemas.openxmlformats.org/officeDocument/2006/bibliography">24</b:RefOrder>
  </b:Source>
</b:Sources>
</file>

<file path=customXml/itemProps1.xml><?xml version="1.0" encoding="utf-8"?>
<ds:datastoreItem xmlns:ds="http://schemas.openxmlformats.org/officeDocument/2006/customXml" ds:itemID="{D7F1A827-8CF8-47D7-87B4-79B190EB0FB1}">
  <ds:schemaRefs/>
</ds:datastoreItem>
</file>

<file path=docProps/app.xml><?xml version="1.0" encoding="utf-8"?>
<Properties xmlns="http://schemas.openxmlformats.org/officeDocument/2006/extended-properties" xmlns:vt="http://schemas.openxmlformats.org/officeDocument/2006/docPropsVTypes">
  <Template>Normal</Template>
  <Pages>40</Pages>
  <Words>12572</Words>
  <Characters>71667</Characters>
  <Lines>597</Lines>
  <Paragraphs>168</Paragraphs>
  <TotalTime>0</TotalTime>
  <ScaleCrop>false</ScaleCrop>
  <LinksUpToDate>false</LinksUpToDate>
  <CharactersWithSpaces>84071</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2026-08-14T04:47:00Z</dcterms:created>
  <dc:creator>Udara Senatilleke</dc:creator>
  <cp:lastModifiedBy>kylin</cp:lastModifiedBy>
  <dcterms:modified xsi:type="dcterms:W3CDTF">2026-09-16T08:44:29Z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509fb3b33768fc4c73c3abd7a62714ca07ae34e6de4ca7fddc5137cf34f30328</vt:lpwstr>
  </property>
  <property fmtid="{D5CDD505-2E9C-101B-9397-08002B2CF9AE}" pid="3" name="KSOProductBuildVer">
    <vt:lpwstr>2052-12.1.2.22550</vt:lpwstr>
  </property>
  <property fmtid="{D5CDD505-2E9C-101B-9397-08002B2CF9AE}" pid="4" name="ICV">
    <vt:lpwstr>EA34CB6E744F08B96DE6A96AEABA9F4F_43</vt:lpwstr>
  </property>
</Properties>
</file>